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11" w:rsidRDefault="00346366" w:rsidP="008E4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</w:t>
      </w:r>
      <w:r w:rsidR="008E411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докладу главы</w:t>
      </w:r>
      <w:r w:rsidRPr="008E411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Дзержинского района о достигнутых значениях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показателей по оценке эффективности деятельности органов местного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самоуправления городских округов и муниципальных районов</w:t>
      </w:r>
    </w:p>
    <w:p w:rsidR="008E4111" w:rsidRPr="008E4111" w:rsidRDefault="008E4111" w:rsidP="008E4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 2020 год и их планируемых значениях на 3-летний период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главы Дзержинского района о результатах мониторинга эффективности деятельности органов местного самоуправления городских округов и муниципальных районов   по итогам 2020 года (далее –   доклад) подготовлен в целях исполнения: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8E4111" w:rsidRP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Доклад, утвержденный  главой района, размещен на официальном сайте администрации района с адресом в информационно-телекоммуникационной сети Интернет - </w:t>
      </w:r>
      <w:hyperlink r:id="rId6" w:history="1">
        <w:r>
          <w:rPr>
            <w:rFonts w:ascii="Times New Roman CYR" w:hAnsi="Times New Roman CYR" w:cs="Times New Roman CYR"/>
            <w:sz w:val="28"/>
            <w:szCs w:val="28"/>
          </w:rPr>
          <w:t>www.adm-dzergin.ru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(раздел «Отдел экономики и труда»).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Экономическое развитие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A159B0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Число субъектов малого и среднего предпринимательства</w:t>
      </w:r>
    </w:p>
    <w:p w:rsidR="00387BE4" w:rsidRDefault="00387BE4" w:rsidP="003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краю, количество индивидуальных предпринимателей за   2020 год составило 238 ед.  (101,3 % к уровню 2019 года). Количество малых предприятий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2020 год составило 50 единиц, количество крестьянско-фермерских хозяйств - 10 единиц.</w:t>
      </w:r>
    </w:p>
    <w:p w:rsidR="00387BE4" w:rsidRDefault="00387BE4" w:rsidP="00387BE4">
      <w:pPr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10 000 человек населения по району в 2020 году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226,76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единиц.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прогнозируемом 2021 году ожидается увеличение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4,35 единиц</w:t>
      </w:r>
      <w:r>
        <w:rPr>
          <w:rFonts w:ascii="Times New Roman CYR" w:hAnsi="Times New Roman CYR" w:cs="Times New Roman CYR"/>
          <w:sz w:val="28"/>
          <w:szCs w:val="28"/>
        </w:rPr>
        <w:t xml:space="preserve">, в 2022 году на 3,29 единиц, в 2023 году  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3,48 единиц</w:t>
      </w:r>
      <w:r>
        <w:rPr>
          <w:rFonts w:ascii="Times New Roman CYR" w:hAnsi="Times New Roman CYR" w:cs="Times New Roman CYR"/>
          <w:sz w:val="28"/>
          <w:szCs w:val="28"/>
        </w:rPr>
        <w:t>. Увеличение планируется за счет снижения   численности населения.</w:t>
      </w:r>
    </w:p>
    <w:p w:rsidR="00387BE4" w:rsidRDefault="00387BE4" w:rsidP="00387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практически не изменой. Отраслевое распределение малых предприятий характеризуется высокой долей предприятий розничной торговли.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Торговля и сфера услуг являются наиболее предпочтительными для малых предприятий.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Доля среднесписочной численности </w:t>
      </w:r>
      <w:r w:rsidR="00A159B0"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работников (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без внешних совместителей) малых и средних предприятий в среднесписочной численности </w:t>
      </w:r>
      <w:r w:rsidR="00A159B0"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работников (без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внешних совместителей) всех предприятий и организаций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2020 году среднесписочная численность работников (без внешних совместителей) малых и средних предприятий с учетом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1148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или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3</w:t>
      </w:r>
      <w:r w:rsidRPr="008E4111">
        <w:rPr>
          <w:rFonts w:ascii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,63 </w:t>
      </w:r>
      <w:r>
        <w:rPr>
          <w:rFonts w:ascii="Times New Roman CYR" w:hAnsi="Times New Roman CYR" w:cs="Times New Roman CYR"/>
          <w:sz w:val="28"/>
          <w:szCs w:val="28"/>
        </w:rPr>
        <w:t xml:space="preserve">% в среднесписочной численности работников всех предприятий и организаций района. Среднесписочная численность работников малых и </w:t>
      </w:r>
      <w:proofErr w:type="spellStart"/>
      <w:r w:rsidR="00A159B0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 w:rsidR="00A159B0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2019 </w:t>
      </w:r>
      <w:r w:rsidR="00A159B0">
        <w:rPr>
          <w:rFonts w:ascii="Times New Roman CYR" w:hAnsi="Times New Roman CYR" w:cs="Times New Roman CYR"/>
          <w:sz w:val="28"/>
          <w:szCs w:val="28"/>
        </w:rPr>
        <w:t>года снизилась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на 48 человек и в 2020 </w:t>
      </w:r>
      <w:r w:rsidR="00A159B0">
        <w:rPr>
          <w:rFonts w:ascii="Times New Roman CYR" w:hAnsi="Times New Roman CYR" w:cs="Times New Roman CYR"/>
          <w:sz w:val="28"/>
          <w:szCs w:val="28"/>
        </w:rPr>
        <w:t>году составило</w:t>
      </w:r>
      <w:r>
        <w:rPr>
          <w:rFonts w:ascii="Times New Roman CYR" w:hAnsi="Times New Roman CYR" w:cs="Times New Roman CYR"/>
          <w:sz w:val="28"/>
          <w:szCs w:val="28"/>
        </w:rPr>
        <w:t xml:space="preserve"> 600 человек. В лесной отрасли снизились объемы заготовки леса, </w:t>
      </w:r>
      <w:r w:rsidR="00A159B0"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 CYR" w:hAnsi="Times New Roman CYR" w:cs="Times New Roman CYR"/>
          <w:sz w:val="28"/>
          <w:szCs w:val="28"/>
        </w:rPr>
        <w:t xml:space="preserve"> расторжения долгосрочного договора аренды Министерство лесной отрасли с Ассоциацией лесопромышленников Дзержинского района.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предпринимательства, принимаемых органами местного самоуправления, в том числе и мер финансовой поддержки.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Поддержка и развитие малого и среднего </w:t>
      </w:r>
      <w:r w:rsidR="00A159B0">
        <w:rPr>
          <w:rFonts w:ascii="Times New Roman CYR" w:hAnsi="Times New Roman CYR" w:cs="Times New Roman CYR"/>
          <w:color w:val="000000"/>
          <w:sz w:val="28"/>
          <w:szCs w:val="28"/>
        </w:rPr>
        <w:t>предпринимательства 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рамках мероприятий муниципальной целевой </w:t>
      </w:r>
      <w:r w:rsidR="00A159B0">
        <w:rPr>
          <w:rFonts w:ascii="Times New Roman CYR" w:hAnsi="Times New Roman CYR" w:cs="Times New Roman CYR"/>
          <w:color w:val="000000"/>
          <w:sz w:val="28"/>
          <w:szCs w:val="28"/>
        </w:rPr>
        <w:t>программы</w:t>
      </w:r>
      <w:r w:rsidR="00A159B0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2014-2022 годы».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2020 году на реализацию программных мероприятий направлено 18,147 млн. рублей, за счет средств краевого бюджета 17,898 млн. рублей, за счет средств местного бюджета - 248,2 тыс. рублей. Поддержка оказана 5 субъектам малого предпринимательства.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Результатом реализации программных мероприятий в 2020 году стало создание на территории района 11 рабочих мест, сохранено 208 рабочих места и привлечение инвестиций 41,466 млн. рублей.  </w:t>
      </w:r>
    </w:p>
    <w:p w:rsidR="008E4111" w:rsidRDefault="008E4111" w:rsidP="008E41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выражении, а также увеличению объема </w:t>
      </w:r>
      <w:r w:rsidR="00A159B0">
        <w:rPr>
          <w:rFonts w:ascii="Times New Roman CYR" w:hAnsi="Times New Roman CYR" w:cs="Times New Roman CYR"/>
          <w:sz w:val="28"/>
          <w:szCs w:val="28"/>
        </w:rPr>
        <w:t>инвестиций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капитал малых организаций.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1018"/>
        <w:gridCol w:w="867"/>
        <w:gridCol w:w="896"/>
        <w:gridCol w:w="959"/>
        <w:gridCol w:w="959"/>
      </w:tblGrid>
      <w:tr w:rsidR="008E4111">
        <w:trPr>
          <w:trHeight w:val="300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 и единицы измерения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8E4111">
        <w:trPr>
          <w:trHeight w:val="600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 факт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 факт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 оценка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прогноз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 прогноз</w:t>
            </w:r>
          </w:p>
        </w:tc>
      </w:tr>
      <w:tr w:rsidR="008E4111">
        <w:trPr>
          <w:trHeight w:val="3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 Количество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E4111">
        <w:trPr>
          <w:trHeight w:val="3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 Количество средних предприятий, 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8E4111">
        <w:trPr>
          <w:trHeight w:val="3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Количество индивидуальных предпринимателей, 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</w:t>
            </w:r>
          </w:p>
        </w:tc>
      </w:tr>
      <w:tr w:rsidR="008E4111">
        <w:trPr>
          <w:trHeight w:val="3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3.1. в том числе количество крестьянско-фермерских хозяйств, 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E4111">
        <w:trPr>
          <w:trHeight w:val="6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</w:rPr>
              <w:t>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конец отчетного года</w:t>
            </w:r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12 908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38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12 789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12 548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12 372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12 191</w:t>
            </w:r>
          </w:p>
        </w:tc>
      </w:tr>
      <w:tr w:rsidR="008E4111">
        <w:trPr>
          <w:trHeight w:val="57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226,22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226,74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231,11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234,40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237,88</w:t>
            </w:r>
          </w:p>
        </w:tc>
      </w:tr>
      <w:tr w:rsidR="008E4111">
        <w:trPr>
          <w:trHeight w:val="6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 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</w:p>
        </w:tc>
      </w:tr>
      <w:tr w:rsidR="008E4111">
        <w:trPr>
          <w:trHeight w:val="6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</w:t>
            </w:r>
          </w:p>
        </w:tc>
      </w:tr>
      <w:tr w:rsidR="008E4111">
        <w:trPr>
          <w:trHeight w:val="3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7.1. в том числе в крестьянско-фермерских хозяйствах, чел.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8E4111">
        <w:trPr>
          <w:trHeight w:val="600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</w:t>
            </w:r>
          </w:p>
        </w:tc>
      </w:tr>
      <w:tr w:rsidR="008E4111">
        <w:trPr>
          <w:trHeight w:val="912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2 066</w:t>
            </w:r>
          </w:p>
        </w:tc>
      </w:tr>
      <w:tr w:rsidR="008E4111">
        <w:trPr>
          <w:trHeight w:val="1425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34,13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37,63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37,21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37,24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37,26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Устойчивое состояние и успешное развитие района во многом зависит от инвестиционной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экономику района. Предприятия вкладывают значительные средства в обновление основных средств. Основным источником финансирования инвестиций являются привлеченные средства.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left="1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2020 году в экономику района привлечено 98 740 тыс. рублей инвестиций в основной капитал за счет всех источников финансирования, к уровню 2019 года снижение на 18% в действующих ценах, в сопоставимых на 23,44% (в 2019 году 120 415 тыс. рублей, в 2018 году   50 634,0 тыс. рублей). Объем инвестиций в основной капитал (за исключением бюджетных средств) составляет 2808,78 рублей в расчете на 1 жителя района, что меньше данного показателя 2019 года на 50,9% в действующих ценах, в сопоставимых ценах </w:t>
      </w:r>
      <w:r w:rsidR="00A159B0">
        <w:rPr>
          <w:rFonts w:ascii="Times New Roman CYR" w:hAnsi="Times New Roman CYR" w:cs="Times New Roman CYR"/>
          <w:sz w:val="28"/>
          <w:szCs w:val="28"/>
        </w:rPr>
        <w:t>на 54</w:t>
      </w:r>
      <w:r>
        <w:rPr>
          <w:rFonts w:ascii="Times New Roman CYR" w:hAnsi="Times New Roman CYR" w:cs="Times New Roman CYR"/>
          <w:sz w:val="28"/>
          <w:szCs w:val="28"/>
        </w:rPr>
        <w:t xml:space="preserve">,2% или 5723,16 рубля. В отчетном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распределились по таким видам деятельности, как: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left="120"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«Обеспечение электрической энергией, газом и паром; кондиционирование воздуха» и составил 12 602 тыс. рублей (снижение на 72,2% в сопоставимых ценах к 2019 году). Частичная реконструкция линий электропередач в с. Дзержинское.</w:t>
      </w:r>
      <w:r w:rsidRPr="008E411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Проведены текущие ремонты источников теплоснабжения.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lastRenderedPageBreak/>
        <w:t xml:space="preserve">«Образование» составил 50 368 тыс. рублей (к уровню 2019 года увеличение в 4 раза или 11 851 тыс. рублей).  </w:t>
      </w:r>
      <w:r>
        <w:rPr>
          <w:rFonts w:ascii="Times New Roman CYR" w:hAnsi="Times New Roman CYR" w:cs="Times New Roman CYR"/>
          <w:sz w:val="28"/>
          <w:szCs w:val="28"/>
        </w:rPr>
        <w:t xml:space="preserve">Построен и введен в эксплуатацию новый быстровозводимый спортивный зал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средней школы.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"Торговля розничная, кроме торговли автотранспортными средствами и мотоциклами" составил 12 837 тыс. рублей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(к уровню 2019 года увеличение в 3 раза или 4 162 тыс. рублей). 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района открылся сетевой </w:t>
      </w:r>
      <w:r w:rsidR="00A159B0">
        <w:rPr>
          <w:rFonts w:ascii="Times New Roman CYR" w:hAnsi="Times New Roman CYR" w:cs="Times New Roman CYR"/>
          <w:sz w:val="28"/>
          <w:szCs w:val="28"/>
        </w:rPr>
        <w:t>магазин «</w:t>
      </w:r>
      <w:r>
        <w:rPr>
          <w:rFonts w:ascii="Times New Roman CYR" w:hAnsi="Times New Roman CYR" w:cs="Times New Roman CYR"/>
          <w:sz w:val="28"/>
          <w:szCs w:val="28"/>
        </w:rPr>
        <w:t>Пятерочка". Приобретение торгового оборудования и произведен ремонт здания.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за счет бюджетных средств в 2020 году составил 62 650 тыс. рублей, к уровню 2019 года увеличение на 35,9% (в 2019 году 46 094 тыс. рублей, в 2018 году 17 731 тыс. рублей).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2019 году в сфере образования   устранены предписания надзорных органов (</w:t>
      </w:r>
      <w:r>
        <w:rPr>
          <w:rFonts w:ascii="Times New Roman CYR" w:hAnsi="Times New Roman CYR" w:cs="Times New Roman CYR"/>
          <w:sz w:val="28"/>
          <w:szCs w:val="28"/>
        </w:rPr>
        <w:t xml:space="preserve">приобретено технологическое оборудование на пищеблок, произведен монтаж эвакуационной лестницы и противопожарной двери, восстановлена система автоматической пожарной сигнализации и др.), в детском саду произведен капитальный ремонт крыши, проведены мероприятия, направленные на обеспечение безопасного участия детей в дорожном движении, произведена установка автоматических твердотопливных котлов, работающих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пеллетах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в детском саду  и в Центре внешкольной работы, началось основное строительство быстровозводимого спортивного зала Денисовкой СОШ, в учреждениях дополнительного образования произведены ремонты спортивного зала, септиков, санитарных комнат;  в области культуры по государственной программе «Развитие культуры и туризма» укрепление материально-технической базы  СДК. Проведены ремонтные работы в сельском клубе, приобретены кресла в зрительный зал СДК, отремонтированы крыши 5 клубов. Проведены текущие ремонты во всех учреждениях культурно-досугового типа. Разработана проектно-сметная документация на реконструкцию здания СДК.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2020 году в сфере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устранены предписания надзорных органов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Нижнетанайской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средней школе, филиале Дзержинской СШ №2 (произведен капитальный ремонт спортивного зала), выполнены работы по замене оконных блоков в здании интерната Орловской средней школы филиала Дзержинской СШ №1, произведен капитальный ремонт здания лыжной базы ДЮСШ, обустроена новая спортивная площадка ГТО, построена новая комплексная спортивная площадка.  Построен и введен в эксплуатацию новый быстровозводимый спортивный зал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средней школы. Произведен ремонт крыши и замена оконных блоков в здании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детского сада «Колобок», филиала Дзержинского детского сада №1 «Чебурашка», ремонт крыши и замена окон в здании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средней школы, произведена установка автоматического твердотопливного котла, работающего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пеллетах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фракционном угле в Детско-юношеской спортивной школе; в области культуры устранены замечания по пожарной безопасности, проведено благоустройство территории детской библиотеки. Проведены ремонты крыш и отопительных систем в сельских клубах.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Улюкольском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 установлен пандус.</w:t>
      </w:r>
    </w:p>
    <w:p w:rsidR="008E4111" w:rsidRDefault="008E411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По оценке 2021 года привлечение инвестиций планируется в объеме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645</w:t>
      </w:r>
      <w:r w:rsidRPr="008E4111">
        <w:rPr>
          <w:rFonts w:ascii="Times New Roman" w:hAnsi="Times New Roman" w:cs="Times New Roman"/>
          <w:sz w:val="28"/>
          <w:szCs w:val="28"/>
          <w:highlight w:val="white"/>
        </w:rPr>
        <w:t xml:space="preserve">00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за счет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строительство детского сада</w:t>
      </w:r>
      <w:r w:rsidRPr="008E4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190 мест с. Дзержинское </w:t>
      </w:r>
      <w:r w:rsidRPr="008E4111">
        <w:rPr>
          <w:rFonts w:ascii="Times New Roman" w:hAnsi="Times New Roman" w:cs="Times New Roman"/>
          <w:color w:val="000000"/>
          <w:sz w:val="28"/>
          <w:szCs w:val="28"/>
        </w:rPr>
        <w:t xml:space="preserve">- 60 000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 xml:space="preserve"> Досуговый центр в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Ашпатск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- 4500 тыс. рублей.</w:t>
      </w:r>
    </w:p>
    <w:p w:rsidR="008E4111" w:rsidRDefault="008E4111" w:rsidP="00A1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прогнозируемом периоде в 2022 году строительство детского сада –  190000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1034"/>
        <w:gridCol w:w="994"/>
        <w:gridCol w:w="1048"/>
        <w:gridCol w:w="1080"/>
        <w:gridCol w:w="1080"/>
      </w:tblGrid>
      <w:tr w:rsidR="008E4111">
        <w:trPr>
          <w:trHeight w:val="289"/>
        </w:trPr>
        <w:tc>
          <w:tcPr>
            <w:tcW w:w="4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 и единицы измерения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8E4111">
        <w:trPr>
          <w:trHeight w:val="600"/>
        </w:trPr>
        <w:tc>
          <w:tcPr>
            <w:tcW w:w="4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  <w:r>
              <w:rPr>
                <w:rFonts w:ascii="Times New Roman CYR" w:hAnsi="Times New Roman CYR" w:cs="Times New Roman CYR"/>
              </w:rPr>
              <w:br/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 факт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 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 прогноз</w:t>
            </w:r>
          </w:p>
        </w:tc>
      </w:tr>
      <w:tr w:rsidR="008E4111">
        <w:trPr>
          <w:trHeight w:val="90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120 415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98 740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209 442</w:t>
            </w:r>
          </w:p>
        </w:tc>
      </w:tr>
      <w:tr w:rsidR="008E4111">
        <w:trPr>
          <w:trHeight w:val="555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237,8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Pr="00E43AD2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80,51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252,83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104,2</w:t>
            </w:r>
          </w:p>
        </w:tc>
      </w:tr>
      <w:tr w:rsidR="008E4111">
        <w:trPr>
          <w:trHeight w:val="30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1.2. Индекс-дефлятор, 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Pr="00E43AD2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E43AD2">
              <w:rPr>
                <w:rFonts w:ascii="Times New Roman CYR" w:hAnsi="Times New Roman CYR" w:cs="Times New Roman CYR"/>
                <w:i/>
                <w:iCs/>
              </w:rPr>
              <w:t>107,10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104,40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104,30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104,20</w:t>
            </w:r>
          </w:p>
        </w:tc>
      </w:tr>
      <w:tr w:rsidR="008E4111">
        <w:trPr>
          <w:trHeight w:val="51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Pr="00E43AD2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76,56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77,12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242,41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E4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100</w:t>
            </w:r>
            <w:bookmarkStart w:id="0" w:name="_GoBack"/>
            <w:bookmarkEnd w:id="0"/>
          </w:p>
        </w:tc>
      </w:tr>
      <w:tr w:rsidR="008E4111">
        <w:trPr>
          <w:trHeight w:val="60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46 094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62 650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197 980</w:t>
            </w:r>
          </w:p>
        </w:tc>
      </w:tr>
      <w:tr w:rsidR="008E4111">
        <w:trPr>
          <w:trHeight w:val="60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74 321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36 090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11 462</w:t>
            </w:r>
          </w:p>
        </w:tc>
      </w:tr>
      <w:tr w:rsidR="008E4111">
        <w:trPr>
          <w:trHeight w:val="93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12 986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12 849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12 282</w:t>
            </w:r>
          </w:p>
        </w:tc>
      </w:tr>
      <w:tr w:rsidR="008E4111">
        <w:trPr>
          <w:trHeight w:val="123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5 723,16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2 808,78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1 183,99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882,83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933,24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За 2020 год доля площади земельных участков, являющихся объектами налогообложения земельным </w:t>
      </w:r>
      <w:r w:rsidR="00A159B0">
        <w:rPr>
          <w:rFonts w:ascii="Times New Roman CYR" w:hAnsi="Times New Roman CYR" w:cs="Times New Roman CYR"/>
          <w:sz w:val="28"/>
          <w:szCs w:val="28"/>
        </w:rPr>
        <w:t>налогом,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площади территории района увеличилась на 0,01 пункт и составляет 17,03%.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площади земельных участков, являющихся объектами налогообложения земельным налогом, обусловлен следующими причинами: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выкуп земельных участков из муниципальной собственности;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земельных участков муниципальной собственности бесплатно в собственность многодетным семьям.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A159B0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прибыльных сельскохозяйственных организаций в общем их числе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Дзержинский район сельскохозяйственный, занимается растениеводством и животноводством. В сводной годовой бухгалтерской отчетности за 2020 год по району включено 12 сельскохозяйственных предприятий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организационно - правовых форм и форм собственности, из которых 11 предприятий прибыльных </w:t>
      </w:r>
      <w:r w:rsidRPr="008E41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1 убыточное </w:t>
      </w:r>
      <w:r w:rsidRPr="008E41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91,7 % от общего числа) получили прибыль по итогам года.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отчетном периоде деятельность организаций сельского хозяйства в районе осуществлялась в условиях продолжения реализации мер государственной поддержки за счет средств краевого и федерального бюджета. В рамках выполнения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2014-2030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годы субъектам агропромышленного комплекса в 2020 году была оказана государственная поддержка в объеме 75737,59009 тыс. рублей, в том числе за счет средств краевого бюджета -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49210,43609 тыс. рублей, за счет средств федерального бюджета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26527,154 тыс. рублей.</w:t>
      </w:r>
    </w:p>
    <w:p w:rsidR="00A159B0" w:rsidRDefault="00A159B0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A159B0" w:rsidRDefault="00A159B0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протяженность автомобильных дорог общего пользования Дзержинского района по состоянию на 01.01.2021 составила 577,98 км, из которых 262 км – дороги местного значения.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общего пользования местного значения, не отвечающих нормативным требованиям, составила в 2020 году 72,9% (191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км</w:t>
      </w:r>
      <w:r w:rsidRPr="008E4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) в общей протяженности автомобильных дорог общего пользования местного значения.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местных бюджетах денежных средств в объемах, достаточных для содержания, развития и модернизации автомобильных дорог, является основной причиной неудовлетворительного состояния дорожной сети местного значения. Кроме того, большое влияние на качество дорог оказывают многократно возросшие нагрузки от воздействия тяжеловесного транспорта.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Учитывая недостаточность средств бюджетов муниципальных образований, Правительством Красноярского края ежегодно предоставляются субсидии бюджетам муниципальных образований на осуществление дорожной деятельности в отношении автомобильных дорог местного значения. 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2020 году бюджету района предоставлено субсидий на ремонт и содержание улично-дорожной сети в рамках реализации государственной программы Красноярского края «Развитие транспортной системы» – на общую сумму 8 274 300,00 руб.  В результате проведенных работ приведено в соответствие с требованиями нормативов порядка 7 406 м улично-дорожной сети района.</w:t>
      </w:r>
    </w:p>
    <w:p w:rsid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</w:t>
      </w:r>
    </w:p>
    <w:p w:rsidR="00A159B0" w:rsidRDefault="00A159B0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население, проживающее в населенных пунктах района, имеет регулярное автобусное сообщение с административным центром Дзержинского района.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E4111" w:rsidRDefault="008E4111" w:rsidP="008E4111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оказания содействия органам местного самоуправления в реализации полномочий по решению вопросов местного значения ежегодно из фонда финансовой поддержки Красноярского края выделяются средства на выполнение муниципальных программ пассажирских перевозок автомобильным транспортом. В 2020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году на данные цели было выделено </w:t>
      </w:r>
      <w:r>
        <w:rPr>
          <w:rFonts w:ascii="Times New Roman CYR" w:hAnsi="Times New Roman CYR" w:cs="Times New Roman CYR"/>
          <w:color w:val="333333"/>
          <w:sz w:val="27"/>
          <w:szCs w:val="27"/>
          <w:highlight w:val="white"/>
        </w:rPr>
        <w:t xml:space="preserve">17 393,2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</w:p>
    <w:p w:rsidR="008E4111" w:rsidRPr="00A159B0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Среднемесячная номинальная начисленная заработная плата работников: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крупных и средних предприятий и некоммерческих организаций;</w:t>
      </w:r>
    </w:p>
    <w:p w:rsidR="008E4111" w:rsidRDefault="008E4111" w:rsidP="008E4111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Изменению уровня жизни населения способствует рост заработной платы. В 2020 году была сохранена положительная динамика роста доходов населения.  Среднемесячная номинальная заработная плата работников за 2020 год крупных и средних предприятий и некоммерческих организаций составила 36855,96 рублей, темп роста к уровню прошлого года составил 8,2%.</w:t>
      </w:r>
    </w:p>
    <w:p w:rsidR="008E4111" w:rsidRDefault="008E4111" w:rsidP="008E4111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Рост заработной платы обусловлен индексацией оплаты труда отдельных категорий работников бюджетной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сферы с 01.10.2020 на 3,0 % и повышением МРОТ в 2020 году с 11 280 рублей до 12130 рублей.</w:t>
      </w:r>
    </w:p>
    <w:p w:rsidR="008E4111" w:rsidRDefault="008E4111" w:rsidP="008E4111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Оценка среднемесячной номинальной заработной платы на 2021 год составила 39067,36 рублей, темп роста к уровню 2020 года - 106,0 %. Прогноз среднемесячной номинальной заработной платы на 2022 год - 41528,60 рублей, темп роста 106,3 %; на 2023 год – 44269,49 рублей, темп роста 106,6 %.</w:t>
      </w:r>
    </w:p>
    <w:p w:rsidR="008E4111" w:rsidRDefault="008E4111" w:rsidP="008E4111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Темпы роста заработной платы в прогнозном периоде будут сохранены в результате сохранения достигнутых соотношений между уровнем оплаты труда отдельных категорий работников бюджетной сферы и уровнем средней заработной платы, с увеличением МРОТ ежегодно с 1 января.</w:t>
      </w:r>
    </w:p>
    <w:p w:rsidR="008E4111" w:rsidRPr="00A159B0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муниципальных дошкольных образовательных учреждений;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2020 году средняя заработная плата работников муниципальных дошкольных образовательных учреждений составила 30 663,</w:t>
      </w:r>
      <w:r w:rsidR="00A159B0">
        <w:rPr>
          <w:rFonts w:ascii="Times New Roman CYR" w:hAnsi="Times New Roman CYR" w:cs="Times New Roman CYR"/>
          <w:sz w:val="28"/>
          <w:szCs w:val="28"/>
        </w:rPr>
        <w:t>34 рубля</w:t>
      </w:r>
      <w:r w:rsidR="00A159B0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2019 год – 29 175,</w:t>
      </w:r>
      <w:r w:rsidR="00A159B0">
        <w:rPr>
          <w:rFonts w:ascii="Times New Roman CYR" w:hAnsi="Times New Roman CYR" w:cs="Times New Roman CYR"/>
          <w:sz w:val="28"/>
          <w:szCs w:val="28"/>
        </w:rPr>
        <w:t>1 рублей, рост</w:t>
      </w:r>
      <w:r>
        <w:rPr>
          <w:rFonts w:ascii="Times New Roman CYR" w:hAnsi="Times New Roman CYR" w:cs="Times New Roman CYR"/>
          <w:sz w:val="28"/>
          <w:szCs w:val="28"/>
        </w:rPr>
        <w:t xml:space="preserve"> на 5,1 %)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муниципальных дошкольных образовательных учреждений к среднемесячной номинальной начисленной заработной плате </w:t>
      </w:r>
      <w:r w:rsidR="00A159B0">
        <w:rPr>
          <w:rFonts w:ascii="Times New Roman CYR" w:hAnsi="Times New Roman CYR" w:cs="Times New Roman CYR"/>
          <w:sz w:val="28"/>
          <w:szCs w:val="28"/>
        </w:rPr>
        <w:t>работников крупных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средних предприятий и некоммерческих организаций составляет 83,2 %.  </w:t>
      </w:r>
    </w:p>
    <w:p w:rsidR="008E4111" w:rsidRPr="00A159B0" w:rsidRDefault="008E4111" w:rsidP="008E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159B0">
        <w:rPr>
          <w:rFonts w:ascii="Arial CYR" w:hAnsi="Arial CYR" w:cs="Arial CYR"/>
          <w:i/>
          <w:sz w:val="16"/>
          <w:szCs w:val="16"/>
        </w:rPr>
        <w:t xml:space="preserve"> 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муниципальных общеобразовательных учреждений;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2020 году уровень средней заработной платы работников муниципальных общеобразовательных учреждений </w:t>
      </w:r>
      <w:r w:rsidR="00A159B0">
        <w:rPr>
          <w:rFonts w:ascii="Times New Roman CYR" w:hAnsi="Times New Roman CYR" w:cs="Times New Roman CYR"/>
          <w:sz w:val="28"/>
          <w:szCs w:val="28"/>
        </w:rPr>
        <w:t>составил 35</w:t>
      </w:r>
      <w:r>
        <w:rPr>
          <w:rFonts w:ascii="Times New Roman CYR" w:hAnsi="Times New Roman CYR" w:cs="Times New Roman CYR"/>
          <w:sz w:val="28"/>
          <w:szCs w:val="28"/>
        </w:rPr>
        <w:t xml:space="preserve"> 672,</w:t>
      </w:r>
      <w:r w:rsidR="00A159B0">
        <w:rPr>
          <w:rFonts w:ascii="Times New Roman CYR" w:hAnsi="Times New Roman CYR" w:cs="Times New Roman CYR"/>
          <w:sz w:val="28"/>
          <w:szCs w:val="28"/>
        </w:rPr>
        <w:t>4 рублей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2019 год – 34 347,</w:t>
      </w:r>
      <w:r w:rsidR="00A159B0">
        <w:rPr>
          <w:rFonts w:ascii="Times New Roman CYR" w:hAnsi="Times New Roman CYR" w:cs="Times New Roman CYR"/>
          <w:sz w:val="28"/>
          <w:szCs w:val="28"/>
        </w:rPr>
        <w:t>6 рублей</w:t>
      </w:r>
      <w:r>
        <w:rPr>
          <w:rFonts w:ascii="Times New Roman CYR" w:hAnsi="Times New Roman CYR" w:cs="Times New Roman CYR"/>
          <w:sz w:val="28"/>
          <w:szCs w:val="28"/>
        </w:rPr>
        <w:t>, рост – 3,9 %)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96,8 %, учителей – 118 %. </w:t>
      </w:r>
    </w:p>
    <w:p w:rsidR="008E4111" w:rsidRPr="00A159B0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муниципальных учреждений культуры и искусства;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среднемесячная номинальная заработная </w:t>
      </w:r>
      <w:r w:rsidR="00A159B0">
        <w:rPr>
          <w:rFonts w:ascii="Times New Roman CYR" w:hAnsi="Times New Roman CYR" w:cs="Times New Roman CYR"/>
          <w:sz w:val="28"/>
          <w:szCs w:val="28"/>
        </w:rPr>
        <w:t>плата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</w:t>
      </w:r>
      <w:r w:rsidR="00A159B0">
        <w:rPr>
          <w:rFonts w:ascii="Times New Roman CYR" w:hAnsi="Times New Roman CYR" w:cs="Times New Roman CYR"/>
          <w:sz w:val="28"/>
          <w:szCs w:val="28"/>
        </w:rPr>
        <w:t>учреждениях культуры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28 813,98 рублей, рост заработной платы по отношению к 2018 году составил 109,8 %.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 состоянию на 1 января 2021 года в районе функционировало 5 муниципальных дошкольных образовательных учреждений (далее - ДОУ) и 4 филиала муниципальных дошкольных образовательных учреждений на 665 мест</w:t>
      </w:r>
      <w:r>
        <w:rPr>
          <w:rFonts w:ascii="Times New Roman CYR" w:hAnsi="Times New Roman CYR" w:cs="Times New Roman CYR"/>
          <w:sz w:val="24"/>
          <w:szCs w:val="24"/>
        </w:rPr>
        <w:t>. К</w:t>
      </w:r>
      <w:r>
        <w:rPr>
          <w:rFonts w:ascii="Times New Roman CYR" w:hAnsi="Times New Roman CYR" w:cs="Times New Roman CYR"/>
          <w:sz w:val="28"/>
          <w:szCs w:val="28"/>
        </w:rPr>
        <w:t>оличество детей, посещающих детские учреждения 594 ребенка. Доля детей в возрасте 1 - 6 лет, получающих дошкольную образовательную услугу в общей численности детей в возрасте 1 - 6 лет, составляет 56,41%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1,14%. В натуральном выражении – 12 детей, из них дети в возрасте от 3 до 7 лет – отсутствуют.</w:t>
      </w:r>
    </w:p>
    <w:p w:rsidR="008E4111" w:rsidRPr="00A159B0" w:rsidRDefault="008E4111" w:rsidP="00A1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A159B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 из причин нехватки мест в дошкольные образовательные учреждения является неудовлетворительное состояние зданий, в которых размещаются эти учреждения.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Здания МБДОУ «Дзержинский детский сад № 4 «Березка» требует капитального ремонта. Доля муниципальных дошкольных образовательных учреждений, здания которых требуют капитального ремонта, составляет 20%.                      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дефицитом бюджета материально-техническое обеспечение дошкольных образовательных учреждений требует серьезного обновления. В рамках внедрения ФГОС необходимо обогащать образовательную среду игрушками, дидактическими материалами, современной мебелью и компьютерами.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Default="008E4111" w:rsidP="0025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системе общего образования Дзержинского района функционируют восемь общеобразовательных школ, которые имеют два филиала; два учреждения дополнительного образования (ДЮСШ, ЦВР).    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выпускников общеобразовательных школ района 68 человек.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Аттестат о среднем общем образовании получили 68 (100 %) выпускника общеобразовательных школ. Доля выпускников, не получивших аттестат об общем образовании в 2020 году, - 0 %.      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создания необходимых (базовых) условий для реализации основных образовательных стандартов в соответствии с требованиями федеральных государственных образовательных стандартов начального </w:t>
      </w:r>
      <w:r>
        <w:rPr>
          <w:rFonts w:ascii="Times New Roman CYR" w:hAnsi="Times New Roman CYR" w:cs="Times New Roman CYR"/>
          <w:sz w:val="28"/>
          <w:szCs w:val="28"/>
        </w:rPr>
        <w:br/>
        <w:t>и основного общего образования осуществляется оснащение общеобразовательных учреждений района учебным оборудованием, обеспечение учебниками, повышение квалификации учителей и руководителей общеобразовательных учреждений района, также организован подвоз обучающихся в школы.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все школы района обеспечены необходимым комплектом оборудования для реализации федеральных государственных образовательных стандартов начального и основного общего образования.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Все учащиеся школ района обеспечены бесплатными учебниками по обязательным для изучения предметам в полном объёме.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 района подключены к сети Интернет. У каждого общеобразовательного учреждения района имеется Интернет-сайт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отражающий результаты деятельности учреждения и содержащий информацию, обязательную для размещения на сайте в соответствии с действующим законодательством. В 75% общеобразовательных учреждений района имеются физкультурные залы.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75%.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01.01.2021 года отсутствуют аварийные или требующие капитального ремонта здания общеобразовательных учреждений района. 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8E4111" w:rsidRDefault="00257DB2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="008E4111">
        <w:rPr>
          <w:rFonts w:ascii="Times New Roman CYR" w:hAnsi="Times New Roman CYR" w:cs="Times New Roman CYR"/>
          <w:color w:val="000000"/>
          <w:sz w:val="28"/>
          <w:szCs w:val="28"/>
        </w:rPr>
        <w:t>Приоритетным направлением деятельности образовательных учреждений района является сохранение и укрепление здоровья подрастающего поколения.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Доля детей первой и второй групп здоровья в общей численности, </w:t>
      </w:r>
      <w:r w:rsidR="00257DB2">
        <w:rPr>
          <w:rFonts w:ascii="Times New Roman CYR" w:hAnsi="Times New Roman CYR" w:cs="Times New Roman CYR"/>
          <w:sz w:val="28"/>
          <w:szCs w:val="28"/>
        </w:rPr>
        <w:t>обучающихся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общеобразовательных </w:t>
      </w:r>
      <w:r w:rsidR="00257DB2">
        <w:rPr>
          <w:rFonts w:ascii="Times New Roman CYR" w:hAnsi="Times New Roman CYR" w:cs="Times New Roman CYR"/>
          <w:sz w:val="28"/>
          <w:szCs w:val="28"/>
        </w:rPr>
        <w:t>учреждениях, составила 73,24 %.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учреждениях, составила 8,02 %.  (139 обучающихся из общего количества 1733 чел.)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во вторую смену осуществляют два общеобразовательных учреждения из 8 оказывающих образовательную услугу, за счет увеличения количества классов начальной школы.</w:t>
      </w:r>
    </w:p>
    <w:p w:rsidR="00257DB2" w:rsidRDefault="008E4111" w:rsidP="0025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 третью смену в общеобразовательных учреждениях района не осуществля</w:t>
      </w:r>
      <w:r w:rsidR="00257DB2">
        <w:rPr>
          <w:rFonts w:ascii="Times New Roman CYR" w:hAnsi="Times New Roman CYR" w:cs="Times New Roman CYR"/>
          <w:sz w:val="28"/>
          <w:szCs w:val="28"/>
        </w:rPr>
        <w:t>ется.</w:t>
      </w:r>
    </w:p>
    <w:p w:rsid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8E4111" w:rsidRPr="00257DB2" w:rsidRDefault="00257DB2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</w:t>
      </w:r>
      <w:r w:rsidR="008E4111">
        <w:rPr>
          <w:rFonts w:ascii="Times New Roman CYR" w:hAnsi="Times New Roman CYR" w:cs="Times New Roman CYR"/>
          <w:sz w:val="28"/>
          <w:szCs w:val="28"/>
        </w:rPr>
        <w:t xml:space="preserve">По итогам 2020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48,06 тыс. рублей. 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дополнительного образования в районе представлена тремя учреждениями дополнительного образования детей: МБОУ ДОД «Центр внешкольной работы», МБОУ ДОД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Детско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–юношеская спортивная школа», МБОУ ДОД «Дзержинская школа искусств», находящихся в ведении органа управления культуры, а также учреждениями МБОУ Дзержинская СШ № 2, и МБДОУ д/с № 3 «Тополек», и кружками и секциями на базе образовательных учреждений.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учреждениях дополнительного образования в объединениях технического творчества, спортивного, культурологического, социально-педагогического и художественно-эстетического творчества занимаются </w:t>
      </w:r>
      <w:r w:rsidR="00257DB2">
        <w:rPr>
          <w:rFonts w:ascii="Times New Roman CYR" w:hAnsi="Times New Roman CYR" w:cs="Times New Roman CYR"/>
          <w:sz w:val="28"/>
          <w:szCs w:val="28"/>
        </w:rPr>
        <w:t>1601 человек</w:t>
      </w:r>
      <w:r>
        <w:rPr>
          <w:rFonts w:ascii="Times New Roman CYR" w:hAnsi="Times New Roman CYR" w:cs="Times New Roman CYR"/>
          <w:sz w:val="28"/>
          <w:szCs w:val="28"/>
        </w:rPr>
        <w:t>. Существующая в районе система дополнительного образова</w:t>
      </w:r>
      <w:r w:rsidR="00BB248E">
        <w:rPr>
          <w:rFonts w:ascii="Times New Roman CYR" w:hAnsi="Times New Roman CYR" w:cs="Times New Roman CYR"/>
          <w:sz w:val="28"/>
          <w:szCs w:val="28"/>
        </w:rPr>
        <w:t>ния обеспечивает занятость 44,25</w:t>
      </w:r>
      <w:r>
        <w:rPr>
          <w:rFonts w:ascii="Times New Roman CYR" w:hAnsi="Times New Roman CYR" w:cs="Times New Roman CYR"/>
          <w:sz w:val="28"/>
          <w:szCs w:val="28"/>
        </w:rPr>
        <w:t xml:space="preserve"> % школьников. По сравнению с 2019 годом произошло незначительное понижение значения данного показателя.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Default="008E4111" w:rsidP="0025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IV. Культура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Уровень фактической обеспеченности учреждениями культуры от нормативной потребности: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сеть муниципальных учреждений культуры состояла из 48 учреждений, в том числе 23 учреждения культурно-досугового типа, 23 библиотеки, 1 музей, 1 детская школа искусств.  </w:t>
      </w: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целях развития материально-технической базы учреждений культуры  и образовательных организаций в области культуры, поддержки творческих инициатив населения   в 2020 году предоставлены субсидии:</w:t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 на текущий ремонт Топольского СК (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Денисовское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обособленное подразделение МБУК «МКС»)  223 018,00 руб. краевой бюджет, из них местный бюджет – 2 238,00 руб.</w:t>
      </w:r>
      <w:r>
        <w:rPr>
          <w:rFonts w:ascii="Times New Roman CYR" w:hAnsi="Times New Roman CYR" w:cs="Times New Roman CYR"/>
          <w:sz w:val="28"/>
          <w:szCs w:val="28"/>
        </w:rPr>
        <w:t xml:space="preserve"> В декабре 2020 года Федеральным фондом социальной и экономической поддержки отечественной кинематографии на поддержку кинозала МБУК «МКС», (как отрасли пострадавшей от пандемии) выделена су</w:t>
      </w:r>
      <w:r w:rsidR="00257DB2">
        <w:rPr>
          <w:rFonts w:ascii="Times New Roman CYR" w:hAnsi="Times New Roman CYR" w:cs="Times New Roman CYR"/>
          <w:sz w:val="28"/>
          <w:szCs w:val="28"/>
        </w:rPr>
        <w:t>бсидия в размере 28 976 рублей.</w:t>
      </w:r>
    </w:p>
    <w:p w:rsidR="008E4111" w:rsidRPr="00257DB2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клубами и учреждениями клубного типа;</w:t>
      </w:r>
    </w:p>
    <w:p w:rsidR="008E4111" w:rsidRPr="00257DB2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фактической обеспеченности клубами и учреждениями </w:t>
      </w:r>
      <w:r w:rsidR="00257DB2">
        <w:rPr>
          <w:rFonts w:ascii="Times New Roman CYR" w:hAnsi="Times New Roman CYR" w:cs="Times New Roman CYR"/>
          <w:sz w:val="28"/>
          <w:szCs w:val="28"/>
        </w:rPr>
        <w:t>клубного типа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100%. </w:t>
      </w:r>
    </w:p>
    <w:p w:rsidR="008E4111" w:rsidRPr="00257DB2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библиотеками;</w:t>
      </w:r>
    </w:p>
    <w:p w:rsidR="008E4111" w:rsidRPr="00257DB2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Обеспеченность библиотеками соответствует нормативу - 100%.</w:t>
      </w:r>
    </w:p>
    <w:p w:rsidR="008E4111" w:rsidRPr="00257DB2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парками культуры и отдыха.</w:t>
      </w:r>
    </w:p>
    <w:p w:rsidR="008E4111" w:rsidRPr="00257DB2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Парков культуры и отдыха на территории района нет.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E4111" w:rsidRPr="00257DB2" w:rsidRDefault="008E4111" w:rsidP="0025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257DB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Материально-техническая база муниципальных учреждений культуры и образовательных организаций в области культуры характеризуется высокой степенью износа. По состоянию на 01.01.2021 капитального ремонта требуют 21 здание. Проведён ремонт в детской библиотеке, Орловском СДК.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Учреждения культуры, требующие капитального ремонта: 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Дзержинский РДК, 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Дзержинский музей, 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ДШИ 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Чемурайский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СК, 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Ершинский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СДК,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Чурюковский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Николаевский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Канарайский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Макаровский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Денисовский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Кондратьевский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Топольский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Колонский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Таловский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Семёновский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Улюкольский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Михайловский СК</w:t>
      </w:r>
    </w:p>
    <w:p w:rsidR="008E4111" w:rsidRDefault="008E4111" w:rsidP="008E4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Нижнетанайский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Доля муниципальных учреждений культуры, здания которых находятся в аварийном состоянии или требуют капитального </w:t>
      </w:r>
      <w:r w:rsidR="00257DB2">
        <w:rPr>
          <w:rFonts w:ascii="Times New Roman CYR" w:hAnsi="Times New Roman CYR" w:cs="Times New Roman CYR"/>
          <w:sz w:val="28"/>
          <w:szCs w:val="28"/>
        </w:rPr>
        <w:t>ремонта,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43,75%.</w:t>
      </w:r>
    </w:p>
    <w:p w:rsidR="008E4111" w:rsidRPr="00B73347" w:rsidRDefault="008E4111" w:rsidP="00B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7334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собственности муниципального образования Дзержинский район находится 7 объектов культурного наследия: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1.Братская могила 12 партизан, погибших в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Улюкольском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 бою в декабре 1919 г. деревня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Улюколь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;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2.Братская могила 2 жителей села, расстрелянных колчаковцами за связь с партизанами.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Дер.Чурюково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;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3. Братская могила 3 партизан,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Курай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;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4. Братская могила девяти жителей села Дзержинского, расстрелянных карательным отрядом за связь с партизанами в феврале 1919 года. Село Дзержинское;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5. Братская могила одиннадцати партизан из села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Денисово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, расстрелянных колчаковцами в 1919; село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Денисово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;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6. Братская могила партизан и жителей села, погибших в борьбе за Советскую власть в 1919 году. деревня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Канарай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;</w:t>
      </w:r>
    </w:p>
    <w:p w:rsidR="008E4111" w:rsidRDefault="008E4111" w:rsidP="008E4111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7. Могила двух партизан, погибших в бою под д.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Улюколь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колчаковским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 xml:space="preserve"> отрядом 19 декабря 1919 года. Село </w:t>
      </w:r>
      <w:proofErr w:type="spellStart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Шеломки</w:t>
      </w:r>
      <w:proofErr w:type="spellEnd"/>
      <w:r>
        <w:rPr>
          <w:rFonts w:ascii="Times New Roman CYR" w:hAnsi="Times New Roman CYR" w:cs="Times New Roman CYR"/>
          <w:color w:val="112233"/>
          <w:sz w:val="28"/>
          <w:szCs w:val="28"/>
          <w:highlight w:val="white"/>
        </w:rPr>
        <w:t>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нет.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E4111" w:rsidRDefault="008E4111" w:rsidP="00B73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8E4111" w:rsidRPr="00B73347" w:rsidRDefault="008E4111" w:rsidP="00B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7334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населения, систематически занимающегося физической культурой и спортом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41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01.01.2021 количество спортивных сооружений в районе составило 40 единиц, в том числе 25 плоскостных спортивных сооружений, 10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спортивных залов, 1 лыжная база, другие спортивные сооружения 4, МБУ ДО «ДЮСШ», ФСК «Мечта», ФСК «Бригантина».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для вовлечения максимального количества жителей района в занятия физической культурой и спортом, помимо занятий, проводимых в 8 общеобразовательных учреждениях и 4 дошкольных учреждениях, является также работа МБУДО «Детско-юношеская спортивная школа», ФСК «Мечта», ФСК «Бригантина», проведение спортивно-массовых мероприятий в которых принимают участие жители Дзержинского района.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на территории района организовано и проведено 28 муниципальных физкультурных и спортивных мероприятий с общим количеством участников около 300 человек.</w:t>
      </w:r>
    </w:p>
    <w:p w:rsidR="008E4111" w:rsidRDefault="008E4111" w:rsidP="008E4111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района функционирует Центр тестирования «Всероссийского физкультурного спортивного комплекса». В 2020 году выполнили норматив ГТО – 36 человек.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Доля населения, систематически занимающегося физической культурой и спортом, в общей численности населения района в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2020 году составило 37,45 % (4481 человек от численности населения в возрасте 3-79 лет – 11965 чел., в 2019 году составило 35,33%). Наблюдается положительная динамика.</w:t>
      </w:r>
    </w:p>
    <w:p w:rsidR="008E4111" w:rsidRPr="00B73347" w:rsidRDefault="008E4111" w:rsidP="00B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B7334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</w:t>
      </w:r>
    </w:p>
    <w:p w:rsidR="002A2849" w:rsidRPr="002A2849" w:rsidRDefault="002A2849" w:rsidP="002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2A2849">
        <w:rPr>
          <w:rFonts w:ascii="Times New Roman CYR" w:hAnsi="Times New Roman CYR" w:cs="Times New Roman CYR"/>
          <w:sz w:val="28"/>
          <w:szCs w:val="28"/>
        </w:rPr>
        <w:t xml:space="preserve">В целом по району доля обучающихся, систематически занимающихся физической культурой и спортом, в общей численности, обучающихся в 2020 году составила 92,81 </w:t>
      </w:r>
      <w:r w:rsidR="00E16BE2" w:rsidRPr="002A2849">
        <w:rPr>
          <w:rFonts w:ascii="Times New Roman CYR" w:hAnsi="Times New Roman CYR" w:cs="Times New Roman CYR"/>
          <w:sz w:val="28"/>
          <w:szCs w:val="28"/>
        </w:rPr>
        <w:t>% (</w:t>
      </w:r>
      <w:r w:rsidRPr="002A2849">
        <w:rPr>
          <w:rFonts w:ascii="Times New Roman CYR" w:hAnsi="Times New Roman CYR" w:cs="Times New Roman CYR"/>
          <w:sz w:val="28"/>
          <w:szCs w:val="28"/>
        </w:rPr>
        <w:t xml:space="preserve">в 2019 году – 100 %). </w:t>
      </w:r>
    </w:p>
    <w:p w:rsidR="00B73347" w:rsidRPr="00B73347" w:rsidRDefault="002A2849" w:rsidP="002A2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2A284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E411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8E4111" w:rsidRPr="00B73347" w:rsidRDefault="008E4111" w:rsidP="00B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7334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Общая площадь жилых помещений, приходящаяся в среднем на одного жителя</w:t>
      </w:r>
    </w:p>
    <w:p w:rsidR="008E4111" w:rsidRDefault="008E4111" w:rsidP="00B73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2020 году жилищный фонд района увеличился на 0,1% по сравнению с 2019 годом и составил 350,33 тыс. кв. метров. В 2021 году планируется ввести 2905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жилья, в 2022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 -</w:t>
      </w:r>
      <w:r w:rsidRPr="008E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3050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в 2023  году- 3202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275"/>
        <w:gridCol w:w="1134"/>
        <w:gridCol w:w="1099"/>
        <w:gridCol w:w="1169"/>
      </w:tblGrid>
      <w:tr w:rsidR="008E4111">
        <w:trPr>
          <w:trHeight w:val="60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24. Общая площадь жилых помещений, приходящаяся в среднем на одного жителя, - всего</w:t>
            </w:r>
          </w:p>
        </w:tc>
      </w:tr>
      <w:tr w:rsidR="008E4111">
        <w:trPr>
          <w:trHeight w:val="518"/>
        </w:trPr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Наименование показателя и единицы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Значения показателя</w:t>
            </w:r>
          </w:p>
        </w:tc>
      </w:tr>
      <w:tr w:rsidR="008E4111">
        <w:trPr>
          <w:trHeight w:val="600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2019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2020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2021 оценка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2022 прогноз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2023 прогноз</w:t>
            </w:r>
          </w:p>
        </w:tc>
      </w:tr>
      <w:tr w:rsidR="008E4111">
        <w:trPr>
          <w:trHeight w:val="9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1. Общая площадь жилых помещений,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br/>
              <w:t xml:space="preserve"> (по данным статистического отчета 1-жилфонд строка 01 графа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349 270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350 330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353 235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356 285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359 487</w:t>
            </w:r>
          </w:p>
        </w:tc>
      </w:tr>
      <w:tr w:rsidR="008E4111">
        <w:trPr>
          <w:trHeight w:val="6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 xml:space="preserve">2. Введено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3 660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2 905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3 050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3 202</w:t>
            </w:r>
          </w:p>
        </w:tc>
      </w:tr>
      <w:tr w:rsidR="008E4111">
        <w:trPr>
          <w:trHeight w:val="6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3. Выбыло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 </w:t>
            </w:r>
          </w:p>
        </w:tc>
      </w:tr>
      <w:tr w:rsidR="008E4111">
        <w:trPr>
          <w:trHeight w:val="9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на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12 908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12 790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12 548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12 372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12 191</w:t>
            </w:r>
          </w:p>
        </w:tc>
      </w:tr>
      <w:tr w:rsidR="008E4111">
        <w:trPr>
          <w:trHeight w:val="85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27,06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28,15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28,80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29,49</w:t>
            </w:r>
          </w:p>
        </w:tc>
      </w:tr>
      <w:tr w:rsidR="008E4111">
        <w:trPr>
          <w:trHeight w:val="3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</w:tr>
    </w:tbl>
    <w:p w:rsidR="008E4111" w:rsidRPr="00B73347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B7334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в том числе введенная в действие за один год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введено 2767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общей площади жилья, что составило 76 % к уровню 2019 года.   Застройка ведется индивидуальными застройщиками.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жилых помещений, приходящаяся в среднем на одного жителя за 2020 год, составила 27,39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2020 году введено 22 индивидуальных жилых домов, общей площадью </w:t>
      </w:r>
      <w:r w:rsidR="00B73347">
        <w:rPr>
          <w:rFonts w:ascii="Times New Roman CYR" w:hAnsi="Times New Roman CYR" w:cs="Times New Roman CYR"/>
          <w:sz w:val="28"/>
          <w:szCs w:val="28"/>
        </w:rPr>
        <w:t xml:space="preserve">2767 </w:t>
      </w:r>
      <w:proofErr w:type="spellStart"/>
      <w:r w:rsidR="00B73347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="00B73347">
        <w:rPr>
          <w:rFonts w:ascii="Times New Roman CYR" w:hAnsi="Times New Roman CYR" w:cs="Times New Roman CYR"/>
          <w:sz w:val="28"/>
          <w:szCs w:val="28"/>
        </w:rPr>
        <w:t>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Общая </w:t>
      </w:r>
      <w:r w:rsidR="00B73347">
        <w:rPr>
          <w:rFonts w:ascii="Times New Roman CYR" w:hAnsi="Times New Roman CYR" w:cs="Times New Roman CYR"/>
          <w:sz w:val="28"/>
          <w:szCs w:val="28"/>
        </w:rPr>
        <w:t>площадь жилых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помещений, приходящаяся в среднем на одного жителя, введенная в действие за 2020 год составила 0,22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Показатель </w:t>
      </w:r>
      <w:r w:rsidR="00B73347">
        <w:rPr>
          <w:rFonts w:ascii="Times New Roman CYR" w:hAnsi="Times New Roman CYR" w:cs="Times New Roman CYR"/>
          <w:sz w:val="28"/>
          <w:szCs w:val="28"/>
        </w:rPr>
        <w:t>понизился к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2019 года.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156"/>
        <w:gridCol w:w="1226"/>
        <w:gridCol w:w="1041"/>
        <w:gridCol w:w="1424"/>
        <w:gridCol w:w="1215"/>
      </w:tblGrid>
      <w:tr w:rsidR="008E4111">
        <w:trPr>
          <w:trHeight w:val="769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 xml:space="preserve">24.1. Общая площадь жилых помещений, введенная в действие за год, в среднем на одного жителя края </w:t>
            </w:r>
          </w:p>
        </w:tc>
      </w:tr>
      <w:tr w:rsidR="008E4111">
        <w:trPr>
          <w:trHeight w:val="518"/>
        </w:trPr>
        <w:tc>
          <w:tcPr>
            <w:tcW w:w="3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Значения показателя</w:t>
            </w:r>
          </w:p>
        </w:tc>
      </w:tr>
      <w:tr w:rsidR="008E4111">
        <w:trPr>
          <w:trHeight w:val="600"/>
        </w:trPr>
        <w:tc>
          <w:tcPr>
            <w:tcW w:w="3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2019 факт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2020 факт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2021 оценка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2022 прогноз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2023 прогноз</w:t>
            </w:r>
          </w:p>
        </w:tc>
      </w:tr>
      <w:tr w:rsidR="008E4111">
        <w:trPr>
          <w:trHeight w:val="300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, в том числе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3 660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2 767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2 905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3 050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3 202</w:t>
            </w:r>
          </w:p>
        </w:tc>
      </w:tr>
      <w:tr w:rsidR="008E4111">
        <w:trPr>
          <w:trHeight w:val="300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кв.м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3 660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2 767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2 905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3 050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3 202</w:t>
            </w:r>
          </w:p>
        </w:tc>
      </w:tr>
      <w:tr w:rsidR="008E4111">
        <w:trPr>
          <w:trHeight w:val="300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кв.м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0</w:t>
            </w:r>
          </w:p>
        </w:tc>
      </w:tr>
      <w:tr w:rsidR="008E4111">
        <w:trPr>
          <w:trHeight w:val="900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12 986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12 849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12 669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12 460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12 282</w:t>
            </w:r>
          </w:p>
        </w:tc>
      </w:tr>
      <w:tr w:rsidR="008E4111">
        <w:trPr>
          <w:trHeight w:val="855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0,28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0,22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0,23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0,24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color="FF0000"/>
              </w:rPr>
              <w:t>0,26</w:t>
            </w:r>
          </w:p>
        </w:tc>
      </w:tr>
    </w:tbl>
    <w:p w:rsidR="008E4111" w:rsidRPr="00B73347" w:rsidRDefault="008E4111" w:rsidP="00B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B7334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B73347" w:rsidRDefault="008E4111" w:rsidP="00B73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Площадь земельных участков, предоставленных для строительства, в расчете на 10 тыс. человек </w:t>
      </w:r>
      <w:r w:rsidR="00B73347">
        <w:rPr>
          <w:rFonts w:ascii="Times New Roman CYR" w:hAnsi="Times New Roman CYR" w:cs="Times New Roman CYR"/>
          <w:sz w:val="28"/>
          <w:szCs w:val="28"/>
          <w:u w:color="FF0000"/>
        </w:rPr>
        <w:t>населения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2019 году составляет 2,047 га, в 2020 году -  1,79 га. </w:t>
      </w:r>
    </w:p>
    <w:p w:rsidR="008E4111" w:rsidRDefault="008E4111" w:rsidP="00B73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277"/>
        <w:gridCol w:w="1276"/>
        <w:gridCol w:w="1276"/>
        <w:gridCol w:w="1276"/>
        <w:gridCol w:w="1276"/>
      </w:tblGrid>
      <w:tr w:rsidR="008E4111">
        <w:trPr>
          <w:trHeight w:val="1598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25. Площадь земельных участков, предоставленных для строительства, в расчете на 10 тыс. человек населения, всего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25.1.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</w:t>
            </w:r>
          </w:p>
        </w:tc>
      </w:tr>
      <w:tr w:rsidR="008E4111">
        <w:trPr>
          <w:trHeight w:val="3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E4111">
        <w:trPr>
          <w:trHeight w:val="300"/>
        </w:trPr>
        <w:tc>
          <w:tcPr>
            <w:tcW w:w="3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8E4111">
        <w:trPr>
          <w:trHeight w:val="600"/>
        </w:trPr>
        <w:tc>
          <w:tcPr>
            <w:tcW w:w="31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2023 прогноз</w:t>
            </w:r>
          </w:p>
        </w:tc>
      </w:tr>
      <w:tr w:rsidR="008E4111">
        <w:trPr>
          <w:trHeight w:val="6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2,6577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7,5000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1,5000</w:t>
            </w:r>
          </w:p>
        </w:tc>
      </w:tr>
      <w:tr w:rsidR="008E4111">
        <w:trPr>
          <w:trHeight w:val="34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1.1. 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 для ИЖС),  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7,5000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1,5000</w:t>
            </w:r>
          </w:p>
        </w:tc>
      </w:tr>
      <w:tr w:rsidR="008E4111">
        <w:trPr>
          <w:trHeight w:val="6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</w:tr>
      <w:tr w:rsidR="008E4111">
        <w:trPr>
          <w:trHeight w:val="6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0,0177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</w:tr>
      <w:tr w:rsidR="008E4111">
        <w:trPr>
          <w:trHeight w:val="9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2. 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12282</w:t>
            </w:r>
          </w:p>
        </w:tc>
      </w:tr>
      <w:tr w:rsidR="008E4111">
        <w:trPr>
          <w:trHeight w:val="8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2,0466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1,2213</w:t>
            </w:r>
          </w:p>
        </w:tc>
      </w:tr>
      <w:tr w:rsidR="008E4111">
        <w:trPr>
          <w:trHeight w:val="142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1,2213</w:t>
            </w:r>
          </w:p>
        </w:tc>
      </w:tr>
    </w:tbl>
    <w:p w:rsidR="008E4111" w:rsidRDefault="008E4111" w:rsidP="00B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Pr="008E4111" w:rsidRDefault="008E4111" w:rsidP="008E41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Для строительства индивидуальных жилых </w:t>
      </w:r>
      <w:r w:rsidR="00B73347">
        <w:rPr>
          <w:rFonts w:ascii="Times New Roman CYR" w:hAnsi="Times New Roman CYR" w:cs="Times New Roman CYR"/>
          <w:sz w:val="28"/>
          <w:szCs w:val="28"/>
          <w:u w:color="FF0000"/>
        </w:rPr>
        <w:t>домов на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территории с. Дзержинское </w:t>
      </w:r>
      <w:r w:rsidR="00B73347">
        <w:rPr>
          <w:rFonts w:ascii="Times New Roman CYR" w:hAnsi="Times New Roman CYR" w:cs="Times New Roman CYR"/>
          <w:sz w:val="28"/>
          <w:szCs w:val="28"/>
          <w:u w:color="FF0000"/>
        </w:rPr>
        <w:t>осваивались свободные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от застройки </w:t>
      </w:r>
      <w:r w:rsidR="00B73347">
        <w:rPr>
          <w:rFonts w:ascii="Times New Roman CYR" w:hAnsi="Times New Roman CYR" w:cs="Times New Roman CYR"/>
          <w:sz w:val="28"/>
          <w:szCs w:val="28"/>
          <w:u w:color="FF0000"/>
        </w:rPr>
        <w:t>территории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установленных границах населенного пункта на южной и юго-западной окраинах существующей застройки с. Дзержинское.  С 2019 года осваиваются новые участки в северной части с. Дзержинское. В 2020 </w:t>
      </w:r>
      <w:r w:rsidR="00B73347">
        <w:rPr>
          <w:rFonts w:ascii="Times New Roman CYR" w:hAnsi="Times New Roman CYR" w:cs="Times New Roman CYR"/>
          <w:sz w:val="28"/>
          <w:szCs w:val="28"/>
          <w:u w:color="FF0000"/>
        </w:rPr>
        <w:t>году планируется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отвод земельных участков для многодетных семей в п. Северный с.</w:t>
      </w:r>
      <w:r w:rsidR="00B73347" w:rsidRPr="00B73347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Дзержинское</w:t>
      </w:r>
      <w:r w:rsidRPr="008E4111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Увеличение площади в 2021 году земельных участков планируется в связи с освоением новых земель в п. Северный с. Дзержинское, для предоставления многодетным семьям. Проведено </w:t>
      </w:r>
      <w:r w:rsidR="00B73347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межевание 50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земельных </w:t>
      </w:r>
      <w:r w:rsidR="00B73347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участков.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</w:p>
    <w:p w:rsidR="00096DF8" w:rsidRDefault="00096DF8" w:rsidP="008E411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</w:p>
    <w:p w:rsidR="008E4111" w:rsidRPr="00096DF8" w:rsidRDefault="008E4111" w:rsidP="0009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:</w:t>
      </w:r>
    </w:p>
    <w:p w:rsidR="00096DF8" w:rsidRDefault="00096DF8" w:rsidP="008E41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 разрешения на ввод в эксплуатацию объектов жилищного строительства в течение 3 лет, иных объектов капитального строительства в течение 5 лет нет.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96DF8" w:rsidRDefault="00096DF8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96DF8" w:rsidRDefault="00096DF8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E4111" w:rsidRPr="00096DF8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 xml:space="preserve"> </w:t>
      </w: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объектов жилищного строительства - в течение 3 лет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80"/>
        <w:gridCol w:w="1440"/>
        <w:gridCol w:w="2155"/>
        <w:gridCol w:w="1418"/>
        <w:gridCol w:w="1110"/>
        <w:gridCol w:w="1583"/>
      </w:tblGrid>
      <w:tr w:rsidR="008E4111">
        <w:tc>
          <w:tcPr>
            <w:tcW w:w="101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26.1.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жилищного строительства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, </w:t>
            </w:r>
            <w:r>
              <w:rPr>
                <w:rFonts w:ascii="Times New Roman CYR" w:hAnsi="Times New Roman CYR" w:cs="Times New Roman CYR"/>
                <w:u w:color="FF0000"/>
              </w:rPr>
              <w:br/>
              <w:t xml:space="preserve">в отношении которых с даты принятия решения о предоставлении земельного участка </w:t>
            </w:r>
            <w:r>
              <w:rPr>
                <w:rFonts w:ascii="Times New Roman CYR" w:hAnsi="Times New Roman CYR" w:cs="Times New Roman CYR"/>
                <w:u w:color="FF0000"/>
              </w:rPr>
              <w:br/>
      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 лет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u w:color="FF0000"/>
              </w:rPr>
              <w:t>.</w:t>
            </w:r>
          </w:p>
        </w:tc>
      </w:tr>
      <w:tr w:rsidR="008E411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u w:color="FF0000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выдачи разрешения на строительство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Срок действия разрешения на строительство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Общая площадь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 xml:space="preserve">жилищного строительства 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на предоставленном земельном участке, 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u w:color="FF0000"/>
              </w:rPr>
              <w:t>. (проектная)</w:t>
            </w:r>
          </w:p>
        </w:tc>
      </w:tr>
      <w:tr w:rsidR="008E4111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E4111">
        <w:trPr>
          <w:trHeight w:val="27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E4111">
        <w:trPr>
          <w:trHeight w:val="2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ИТОГО</w:t>
            </w:r>
          </w:p>
        </w:tc>
      </w:tr>
    </w:tbl>
    <w:p w:rsidR="008E4111" w:rsidRPr="00096DF8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иных объектов капитального строительства - в течение 5 лет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733"/>
        <w:gridCol w:w="1391"/>
        <w:gridCol w:w="2294"/>
        <w:gridCol w:w="1701"/>
        <w:gridCol w:w="2410"/>
      </w:tblGrid>
      <w:tr w:rsidR="008E4111">
        <w:tc>
          <w:tcPr>
            <w:tcW w:w="10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26.2.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иных объектов капитального строительства, в отношении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5 лет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u w:color="FF0000"/>
              </w:rPr>
              <w:t>.</w:t>
            </w:r>
          </w:p>
        </w:tc>
      </w:tr>
      <w:tr w:rsidR="008E4111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Площадь земельных участков, 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u w:color="FF0000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выдачи разрешения на 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Срок действия разрешения на строительство</w:t>
            </w:r>
          </w:p>
        </w:tc>
      </w:tr>
      <w:tr w:rsidR="008E4111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E4111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E4111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ИТОГО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Х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E4111" w:rsidRDefault="008E4111" w:rsidP="0009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Ключевыми задачами отрасли являются повышение эксплуатационной надёжности объектов коммунальной инфраструктуры и обеспечение доступности жилищно-коммунальных услуг для населения района, а также формирование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конкурентной среды в сфере жилищно-коммунального хозяйства.</w:t>
      </w:r>
    </w:p>
    <w:p w:rsidR="00096DF8" w:rsidRDefault="008E4111" w:rsidP="00096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соответствии с Жилищным кодексом Российской Федерации собственники помещений в многоквартирном доме обязаны выбрать один из способов управления многоквартирным домом: непосредственное управление; управление товариществом собственников жилья, или жилищным кооперативом, или иным специализированным потребительским кооперативом; управление управляющей организацией.</w:t>
      </w:r>
    </w:p>
    <w:p w:rsidR="008E4111" w:rsidRPr="00096DF8" w:rsidRDefault="008E4111" w:rsidP="0009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Общее число многоквартирных домов, в которых собственники помещений выбрали и реализуют способ управления многоквартирными домами, в районе равен 14 ед., в том числе: непосредственное управление собственниками помещений в многоквартирном доме - 14 ед., что составляет 100% от числа многоквартирных домов.</w:t>
      </w:r>
    </w:p>
    <w:p w:rsidR="008E4111" w:rsidRPr="00096DF8" w:rsidRDefault="008E4111" w:rsidP="0009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находится 5 организации, жилищно-коммунального комплекса.</w:t>
      </w:r>
    </w:p>
    <w:p w:rsidR="008E4111" w:rsidRPr="00096DF8" w:rsidRDefault="008E4111" w:rsidP="0009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Все многоквартирные дома на территории района расположены на земельных участках, в отношении которых осуществлен государственный кадастровый учет, что составляет 100%.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№29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960"/>
        <w:gridCol w:w="960"/>
        <w:gridCol w:w="960"/>
        <w:gridCol w:w="960"/>
        <w:gridCol w:w="960"/>
      </w:tblGrid>
      <w:tr w:rsidR="008E4111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8E4111">
        <w:trPr>
          <w:trHeight w:val="6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2019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прогноз</w:t>
            </w:r>
          </w:p>
        </w:tc>
      </w:tr>
      <w:tr w:rsidR="008E4111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</w:tr>
      <w:tr w:rsidR="008E4111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</w:tr>
      <w:tr w:rsidR="008E4111">
        <w:trPr>
          <w:trHeight w:val="12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F45615" w:rsidRPr="00F96DD1" w:rsidRDefault="008E4111" w:rsidP="00F9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</w:r>
      <w:r w:rsidR="00F96DD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нуждающегося </w:t>
      </w:r>
      <w:proofErr w:type="gramStart"/>
      <w:r w:rsidR="00F96DD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в жилых помещения</w:t>
      </w:r>
      <w:proofErr w:type="gramEnd"/>
    </w:p>
    <w:p w:rsidR="00F45615" w:rsidRPr="00F45615" w:rsidRDefault="00F45615" w:rsidP="00F4561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4673"/>
        <w:gridCol w:w="992"/>
        <w:gridCol w:w="993"/>
        <w:gridCol w:w="992"/>
        <w:gridCol w:w="992"/>
        <w:gridCol w:w="992"/>
      </w:tblGrid>
      <w:tr w:rsidR="00F45615" w:rsidRPr="00F45615" w:rsidTr="00F45615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F45615" w:rsidRPr="00F45615" w:rsidTr="00F45615">
        <w:trPr>
          <w:trHeight w:val="6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F45615" w:rsidRPr="00F45615" w:rsidTr="00F45615">
        <w:trPr>
          <w:trHeight w:val="1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договору социального найма в отчетном году</w:t>
            </w:r>
            <w:r w:rsidRPr="00F45615">
              <w:rPr>
                <w:rFonts w:ascii="Times New Roman CYR" w:hAnsi="Times New Roman CYR" w:cs="Times New Roman CYR"/>
                <w:color w:val="000000"/>
              </w:rPr>
              <w:t>, чел.</w:t>
            </w:r>
            <w:r w:rsidRPr="00F45615">
              <w:rPr>
                <w:rFonts w:ascii="Times New Roman CYR" w:hAnsi="Times New Roman CYR" w:cs="Times New Roman CYR"/>
                <w:color w:val="000000"/>
              </w:rPr>
              <w:br/>
            </w:r>
            <w:r w:rsidRPr="00F45615">
              <w:rPr>
                <w:rFonts w:ascii="Times New Roman CYR" w:hAnsi="Times New Roman CYR" w:cs="Times New Roman CYR"/>
                <w:i/>
                <w:iCs/>
                <w:color w:val="000000"/>
              </w:rPr>
              <w:t>(по данным статистического отчета 4-жилфонд строка 04 графа 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</w:tr>
      <w:tr w:rsidR="00F45615" w:rsidRPr="00F45615" w:rsidTr="00F45615">
        <w:trPr>
          <w:trHeight w:val="11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договорам социального найма на конец прошлого года</w:t>
            </w:r>
            <w:r w:rsidRPr="00F45615">
              <w:rPr>
                <w:rFonts w:ascii="Times New Roman CYR" w:hAnsi="Times New Roman CYR" w:cs="Times New Roman CYR"/>
                <w:color w:val="000000"/>
              </w:rPr>
              <w:t>, чел.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</w:tr>
      <w:tr w:rsidR="00F45615" w:rsidRPr="00F45615" w:rsidTr="00F45615">
        <w:trPr>
          <w:trHeight w:val="15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615" w:rsidRPr="00F45615" w:rsidRDefault="00F45615" w:rsidP="00F4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45615">
              <w:rPr>
                <w:rFonts w:ascii="Times New Roman CYR" w:hAnsi="Times New Roman CYR" w:cs="Times New Roman CYR"/>
                <w:b/>
                <w:bCs/>
                <w:color w:val="000000"/>
              </w:rPr>
              <w:t>6,81</w:t>
            </w:r>
          </w:p>
        </w:tc>
      </w:tr>
    </w:tbl>
    <w:p w:rsidR="00F45615" w:rsidRPr="00F45615" w:rsidRDefault="00F45615" w:rsidP="00F4561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5615" w:rsidRPr="00F45615" w:rsidRDefault="00F45615" w:rsidP="00F4561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F45615">
        <w:rPr>
          <w:rFonts w:ascii="Times New Roman CYR" w:hAnsi="Times New Roman CYR" w:cs="Times New Roman CYR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увеличилась по сравнению с 2019 годом из-за уменьшения численности населения (семей) состоящего на учете в качестве нуждающегося в жилых помещениях по договорам социального найма на конец прошлого года. Необходимо отметить, что количество семей, состоящих на учете в качестве нуждающихся в жилых помещениях по договорам социального найма, на конец периода 2019 года составляло 51, в прогноз СЭР муниципальных образований в 2019 году ошибочно было занесено 58 семей. Следует отметить, что количество семей, получивших жилые помещения и улучшившие жилищные условия по договору социального найма в 2020 году по данным сельских советов, составило 7 семей, из них 4 семьи не состояли на учете в качестве нуждающихся. Поэтому при расчете данного показателя, количество семей, улучшивших жилищные условия принимается равным 3.</w:t>
      </w:r>
    </w:p>
    <w:p w:rsidR="00F45615" w:rsidRP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096DF8" w:rsidRDefault="00096DF8" w:rsidP="00F4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E4111" w:rsidRDefault="008E4111" w:rsidP="0009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Pr="00096DF8" w:rsidRDefault="008E4111" w:rsidP="0009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96DF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В 2020 году наблюдается увеличение доли налоговых и неналоговых доходов местного бюджета в общем объеме собственных доходов бюджета муниципального образования с 16,34 % до 16,44 %, небольшое увеличение за счет роста поступлений налога на доходы физических лиц.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В целях увеличения доходов местного бюджета проводится работа по идентификации земельных участков, проведена </w:t>
      </w:r>
      <w:r w:rsidR="00096DF8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инвентаризация муниципального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имущества. Проводится </w:t>
      </w:r>
      <w:r w:rsidR="00096DF8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претензионная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работа </w:t>
      </w:r>
      <w:r w:rsidR="00214987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 взысканию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задолженности за использование муниципального имущества. Согласно утвержденного графика межрайонной инспекцией ФНС России № 8 по Красноярскому краю проводятся заседания межведомственной комиссии по сокращению недоимки по налогам и сборам и легализации заработной платы.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исполнении расходных обязательств.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highlight w:val="white"/>
          <w:u w:color="FF0000"/>
        </w:rPr>
      </w:pPr>
    </w:p>
    <w:p w:rsidR="008E4111" w:rsidRPr="00021478" w:rsidRDefault="008E4111" w:rsidP="00021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организаций муниципальной формы собственности находящихся в стадии банкротства нет.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color="FF0000"/>
        </w:rPr>
      </w:pPr>
    </w:p>
    <w:p w:rsidR="008E4111" w:rsidRPr="00021478" w:rsidRDefault="008E4111" w:rsidP="00021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2020 году объем не завершенного в установленные сроки строительства, осуществляемого за счет </w:t>
      </w:r>
      <w:r w:rsidR="00021478">
        <w:rPr>
          <w:rFonts w:ascii="Times New Roman CYR" w:hAnsi="Times New Roman CYR" w:cs="Times New Roman CYR"/>
          <w:sz w:val="28"/>
          <w:szCs w:val="28"/>
          <w:u w:color="FF0000"/>
        </w:rPr>
        <w:t>средств бюджета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муниципального района, отсутствует.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u w:color="FF0000"/>
        </w:rPr>
      </w:pPr>
      <w:r>
        <w:rPr>
          <w:rFonts w:ascii="Arial CYR" w:hAnsi="Arial CYR" w:cs="Arial CYR"/>
          <w:sz w:val="16"/>
          <w:szCs w:val="16"/>
          <w:u w:color="FF0000"/>
        </w:rPr>
        <w:t xml:space="preserve"> </w:t>
      </w:r>
    </w:p>
    <w:p w:rsidR="008E4111" w:rsidRPr="00021478" w:rsidRDefault="008E4111" w:rsidP="00021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итогам 2020 года, как и в предыдущие годы, просроченная кредиторская задолженность по оплате </w:t>
      </w:r>
      <w:r w:rsidR="00021478">
        <w:rPr>
          <w:rFonts w:ascii="Times New Roman CYR" w:hAnsi="Times New Roman CYR" w:cs="Times New Roman CYR"/>
          <w:sz w:val="28"/>
          <w:szCs w:val="28"/>
          <w:u w:color="FF0000"/>
        </w:rPr>
        <w:t>труда отсутствует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</w:t>
      </w:r>
      <w:r>
        <w:rPr>
          <w:rFonts w:ascii="Times New Roman CYR" w:hAnsi="Times New Roman CYR" w:cs="Times New Roman CYR"/>
          <w:b/>
          <w:bCs/>
          <w:i/>
          <w:iCs/>
          <w:color w:val="0066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что свидетельствует о проведении органами местного </w:t>
      </w:r>
      <w:r w:rsidR="00021478">
        <w:rPr>
          <w:rFonts w:ascii="Times New Roman CYR" w:hAnsi="Times New Roman CYR" w:cs="Times New Roman CYR"/>
          <w:sz w:val="28"/>
          <w:szCs w:val="28"/>
          <w:u w:color="FF0000"/>
        </w:rPr>
        <w:t>самоуправления ответственной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бюджетной политики.</w:t>
      </w:r>
    </w:p>
    <w:p w:rsidR="008E4111" w:rsidRPr="00021478" w:rsidRDefault="008E4111" w:rsidP="00021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          В 2020 году отмечен рост расходов на содержание работников органов местного самоуправления в расчете на одного жителя муниципального образования с 5309,94 рублей до 5718,13 рублей. Это обусловлено с ростом денежного содержания работников органов местного самоуправления, а </w:t>
      </w:r>
      <w:r w:rsidR="00021478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также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сокращением численности постоянного населения (естественное снижение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lastRenderedPageBreak/>
        <w:t>населения – смертность превысила рождаемость и миграционный отток населения).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color="FF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</w:p>
    <w:p w:rsidR="00F96DD1" w:rsidRDefault="00F96DD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</w:p>
    <w:p w:rsidR="008E4111" w:rsidRPr="00021478" w:rsidRDefault="008E4111" w:rsidP="00021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AF2441" w:rsidRDefault="008E4111" w:rsidP="00AF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дальнейшего развития жилищного строительства на территории района разработаны и утверждены документы территориального планирования и правила землепользования застройки, утвержден генеральный план с. Дзержинское. Схема района № 29-187р от 28.12.2012г.  В 2018 году проведены работы и утвержден проект генерального плана Дзержинского сельсовета, Дзержинского района Красноярского края (№ 21-181р от 14.09.2018г.). В 2019 году разработаны генпланы </w:t>
      </w:r>
      <w:proofErr w:type="spellStart"/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>Курайского</w:t>
      </w:r>
      <w:proofErr w:type="spellEnd"/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 xml:space="preserve"> и </w:t>
      </w:r>
      <w:proofErr w:type="spellStart"/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>Денисовского</w:t>
      </w:r>
      <w:proofErr w:type="spellEnd"/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сельсоветов, в настоящее время они находятся на стадии согласования. В 2020 году разработаны генпланы Михайловского и Александро-</w:t>
      </w:r>
      <w:proofErr w:type="spellStart"/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>Ершинского</w:t>
      </w:r>
      <w:proofErr w:type="spellEnd"/>
      <w:r w:rsidR="00AF2441" w:rsidRPr="00AF2441"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сельсоветов, в настоящее время они находятся на доработке.</w:t>
      </w:r>
    </w:p>
    <w:p w:rsidR="00F96DD1" w:rsidRPr="00AF2441" w:rsidRDefault="00F96DD1" w:rsidP="00AF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E4111" w:rsidRPr="00021478" w:rsidRDefault="008E4111" w:rsidP="00AF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удовлетворенности населения Дзержинского района направлениями работы органов местного самоуправления за 2020 год составляет </w:t>
      </w:r>
      <w:r w:rsidR="00B21EF9" w:rsidRPr="00B21EF9">
        <w:rPr>
          <w:rFonts w:ascii="Times New Roman CYR" w:hAnsi="Times New Roman CYR" w:cs="Times New Roman CYR"/>
          <w:sz w:val="28"/>
          <w:szCs w:val="28"/>
          <w:u w:color="FF0000"/>
        </w:rPr>
        <w:t xml:space="preserve">66,4 </w:t>
      </w:r>
      <w:r w:rsidRPr="00B21EF9">
        <w:rPr>
          <w:rFonts w:ascii="Times New Roman CYR" w:hAnsi="Times New Roman CYR" w:cs="Times New Roman CYR"/>
          <w:sz w:val="28"/>
          <w:szCs w:val="28"/>
          <w:u w:color="FF0000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от числа опрошенных.</w:t>
      </w:r>
    </w:p>
    <w:p w:rsidR="00F96DD1" w:rsidRDefault="00F96DD1" w:rsidP="008E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</w:p>
    <w:p w:rsidR="008E4111" w:rsidRPr="00021478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02147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Среднегодовая численность постоянного населения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2020 году среднегодовая численность постоянного населения района составила 12849 человек. Численность населения района на </w:t>
      </w:r>
      <w:r w:rsidR="00021478">
        <w:rPr>
          <w:rFonts w:ascii="Times New Roman CYR" w:hAnsi="Times New Roman CYR" w:cs="Times New Roman CYR"/>
          <w:sz w:val="28"/>
          <w:szCs w:val="28"/>
          <w:u w:color="FF0000"/>
        </w:rPr>
        <w:t>протяжении последних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лет постепенно сокращается. По сравнению с </w:t>
      </w:r>
      <w:r w:rsidR="00021478">
        <w:rPr>
          <w:rFonts w:ascii="Times New Roman CYR" w:hAnsi="Times New Roman CYR" w:cs="Times New Roman CYR"/>
          <w:sz w:val="28"/>
          <w:szCs w:val="28"/>
          <w:u w:color="FF0000"/>
        </w:rPr>
        <w:t>2019 годом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населения сократилась на </w:t>
      </w:r>
      <w:r w:rsidR="00021478">
        <w:rPr>
          <w:rFonts w:ascii="Times New Roman CYR" w:hAnsi="Times New Roman CYR" w:cs="Times New Roman CYR"/>
          <w:sz w:val="28"/>
          <w:szCs w:val="28"/>
          <w:u w:color="FF0000"/>
        </w:rPr>
        <w:t>137 человек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Ежегодное снижение численности постоянного населения обусловлено двумя причинами: изменение в процессе естественного воспроизводства в силу объективных причин и миграционных потоков. 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Демографическая ситуация в 2020 году характеризовалась следующими показателями: число родившихся уменьшилось на 10,1% и составило 143 человека, число умерших уменьшилось на 4,6% и составило 206 человек. Естественная </w:t>
      </w:r>
      <w:r w:rsidR="00021478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убыль населения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-63 человека.</w:t>
      </w:r>
    </w:p>
    <w:p w:rsidR="008E4111" w:rsidRDefault="008E411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Миграционный отток населения </w:t>
      </w:r>
      <w:r w:rsidR="00021478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составил -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55 человек.</w:t>
      </w:r>
    </w:p>
    <w:p w:rsidR="008E4111" w:rsidRDefault="008E411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Меры, планируемые по достижению целевого ориентира:</w:t>
      </w:r>
    </w:p>
    <w:p w:rsidR="008E4111" w:rsidRDefault="008E411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По прогнозным оценкам, в ближайшие годы ожидается незначительное увеличение числа новорожденных.</w:t>
      </w:r>
    </w:p>
    <w:p w:rsidR="00F96DD1" w:rsidRDefault="00F96DD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F96DD1" w:rsidRDefault="00F96DD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F96DD1" w:rsidRDefault="00F96DD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8E4111" w:rsidRDefault="008E4111" w:rsidP="008E41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 xml:space="preserve">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                                                                                                                 чел.</w:t>
      </w:r>
    </w:p>
    <w:tbl>
      <w:tblPr>
        <w:tblW w:w="9995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639"/>
        <w:gridCol w:w="2269"/>
        <w:gridCol w:w="826"/>
        <w:gridCol w:w="875"/>
        <w:gridCol w:w="877"/>
        <w:gridCol w:w="938"/>
        <w:gridCol w:w="1102"/>
        <w:gridCol w:w="1057"/>
        <w:gridCol w:w="1412"/>
      </w:tblGrid>
      <w:tr w:rsidR="008E4111" w:rsidTr="00021478">
        <w:trPr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2018 отчет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 отчет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   отчет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 оценка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2023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2024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</w:tr>
      <w:tr w:rsidR="008E4111" w:rsidTr="00021478">
        <w:trPr>
          <w:trHeight w:val="11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Среднегодовая численность постоянного населения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12849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12669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12460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12100</w:t>
            </w:r>
          </w:p>
        </w:tc>
      </w:tr>
      <w:tr w:rsidR="008E4111" w:rsidTr="00021478">
        <w:trPr>
          <w:trHeight w:val="8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населения на начало года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13254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13064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12548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12191</w:t>
            </w:r>
          </w:p>
        </w:tc>
      </w:tr>
      <w:tr w:rsidR="008E4111" w:rsidTr="00021478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родившихся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156</w:t>
            </w:r>
          </w:p>
        </w:tc>
      </w:tr>
      <w:tr w:rsidR="008E4111" w:rsidTr="00021478">
        <w:trPr>
          <w:trHeight w:val="4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умерших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212</w:t>
            </w:r>
          </w:p>
        </w:tc>
      </w:tr>
      <w:tr w:rsidR="008E4111" w:rsidTr="00021478">
        <w:trPr>
          <w:trHeight w:val="7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Естественный прирост(+),               убыль(-)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-56</w:t>
            </w:r>
          </w:p>
        </w:tc>
      </w:tr>
      <w:tr w:rsidR="008E4111" w:rsidTr="00021478">
        <w:trPr>
          <w:trHeight w:val="8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Численность прибывших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488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465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479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501</w:t>
            </w:r>
          </w:p>
        </w:tc>
      </w:tr>
      <w:tr w:rsidR="008E4111" w:rsidTr="00021478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убывших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567</w:t>
            </w:r>
          </w:p>
        </w:tc>
      </w:tr>
      <w:tr w:rsidR="008E4111" w:rsidTr="00021478">
        <w:trPr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Миграционный прирост(+),    убыль(-)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-66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E4111" w:rsidRDefault="008E411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 2014 года в крае осуществляется реализация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целях создания экономических и организационных основ стимулирования энергосбережения и повышения энергетической эффективности. В районе утверждена муниципальная программа в области энергосбережения и повышения энергетической эффективности.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Pr="003D17D9" w:rsidRDefault="008E4111" w:rsidP="003D1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3D17D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Показатель по холодной воде (39.4). Холодное водоснабжение есть в 1 доме, объем потребления холодной воды за 2020 год согласно индивидуальным приборам учета составил 730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., в доме проживает 32 человек. В прогнозируемом периоде 2020-2023 годов показатель останется на уровне 2020 года.</w:t>
      </w:r>
    </w:p>
    <w:p w:rsidR="00F96DD1" w:rsidRDefault="00F96DD1" w:rsidP="008E41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</w:pPr>
    </w:p>
    <w:p w:rsidR="00F96DD1" w:rsidRDefault="00F96DD1" w:rsidP="008E41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  <w:lastRenderedPageBreak/>
        <w:t>Расшифровка показателя №39.4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2627"/>
        <w:gridCol w:w="1559"/>
        <w:gridCol w:w="992"/>
        <w:gridCol w:w="992"/>
        <w:gridCol w:w="1048"/>
        <w:gridCol w:w="795"/>
        <w:gridCol w:w="1134"/>
      </w:tblGrid>
      <w:tr w:rsidR="008E4111" w:rsidTr="003D17D9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2019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2020 факт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2021 оценка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2022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2023</w:t>
            </w: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</w:rPr>
              <w:t>прогноз</w:t>
            </w:r>
          </w:p>
        </w:tc>
      </w:tr>
      <w:tr w:rsidR="008E4111" w:rsidTr="003D17D9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39.4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3D1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куб. метров</w:t>
            </w:r>
            <w:r w:rsidR="008E4111"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28,36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22,81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22,81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22,81</w:t>
            </w:r>
          </w:p>
        </w:tc>
      </w:tr>
      <w:tr w:rsidR="008E4111" w:rsidTr="003D17D9">
        <w:trPr>
          <w:trHeight w:val="8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Pr="003D17D9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куб.</w:t>
            </w:r>
            <w:r w:rsidR="003D17D9" w:rsidRPr="003D17D9"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м</w:t>
            </w:r>
            <w:r w:rsidR="003D17D9"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1106,0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730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730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730</w:t>
            </w:r>
          </w:p>
        </w:tc>
      </w:tr>
      <w:tr w:rsidR="008E4111" w:rsidTr="003D17D9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32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lightGray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Удельная величина потребления тепловой энергии рассчитана по нормативам, так как в многоквартирных домах отсутствуют коллективные приборы учета. Показатель тепловой энергии (39.2) в 2020 году остался на уровне 2019 года.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Прогнозируемые показатели на 2020-2023 годы останутся на уровне 2020 года, так как не планируется увеличение тепловых мощностей и количества потребителей данного ресурса.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№39.2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3052"/>
        <w:gridCol w:w="1134"/>
        <w:gridCol w:w="850"/>
        <w:gridCol w:w="851"/>
        <w:gridCol w:w="992"/>
        <w:gridCol w:w="992"/>
        <w:gridCol w:w="1276"/>
      </w:tblGrid>
      <w:tr w:rsidR="008E4111" w:rsidTr="003D17D9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2019 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прогноз</w:t>
            </w:r>
          </w:p>
        </w:tc>
      </w:tr>
      <w:tr w:rsidR="008E4111" w:rsidTr="003D17D9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 на 1 кв. метр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</w:tr>
      <w:tr w:rsidR="008E4111" w:rsidTr="003D17D9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</w:tr>
      <w:tr w:rsidR="008E4111" w:rsidTr="003D17D9">
        <w:trPr>
          <w:trHeight w:val="6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кв.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lightGray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электрической энергии в многоквартирных домах в Дзержинском районе по данным ОАО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 за 2020 год составил 324361,00 кВт, численность проживающих в многоквартирных домах, которым отпущен соответствующий энергетический ресурс, осталась на прежнем уровне.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электроэнергии в 2020 году уменьшилась по сравнению с 2019 годом. На период 2020-2023 годов показатель останется на уровне 2020 года.</w:t>
      </w:r>
    </w:p>
    <w:p w:rsidR="00F96DD1" w:rsidRDefault="00F96DD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F96DD1" w:rsidRDefault="00F96DD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Расшифровка показателя №39.1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85"/>
        <w:gridCol w:w="1417"/>
        <w:gridCol w:w="993"/>
        <w:gridCol w:w="852"/>
        <w:gridCol w:w="930"/>
        <w:gridCol w:w="986"/>
        <w:gridCol w:w="986"/>
      </w:tblGrid>
      <w:tr w:rsidR="008E4111">
        <w:trPr>
          <w:trHeight w:val="42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2019 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прогноз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</w:t>
            </w: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</w:tr>
      <w:tr w:rsidR="008E4111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кВт·ч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1645,98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1192,50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1192,50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1192,50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1192,50</w:t>
            </w:r>
          </w:p>
        </w:tc>
      </w:tr>
      <w:tr w:rsidR="008E4111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447707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324361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324361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324361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324361</w:t>
            </w:r>
          </w:p>
        </w:tc>
      </w:tr>
      <w:tr w:rsidR="008E4111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272</w:t>
            </w:r>
          </w:p>
        </w:tc>
      </w:tr>
    </w:tbl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E4111" w:rsidRPr="003D17D9" w:rsidRDefault="008E4111" w:rsidP="003D17D9">
      <w:pPr>
        <w:autoSpaceDE w:val="0"/>
        <w:autoSpaceDN w:val="0"/>
        <w:adjustRightInd w:val="0"/>
        <w:spacing w:before="120"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</w:t>
      </w:r>
      <w:r w:rsidR="003D17D9">
        <w:rPr>
          <w:rFonts w:ascii="Times New Roman CYR" w:hAnsi="Times New Roman CYR" w:cs="Times New Roman CYR"/>
          <w:sz w:val="28"/>
          <w:szCs w:val="28"/>
          <w:u w:color="FF0000"/>
        </w:rPr>
        <w:t>оне отсутствует инфраструктура.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E4111" w:rsidRPr="003D17D9" w:rsidRDefault="008E4111" w:rsidP="003D1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3D17D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электроэнергии муниципальными бюджетными учреждениями в 2020 году уменьшилась по сравнению с 2019 годом. Объем потребления электрической энергии муниципальными бюджетными учреждениями в 2020 году составил 2247,8 тыс.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среднегодовая численность постоянного населения Дзержинского района 12849 чел.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Снижение удельной величины потребления электроэнергии муниципальными бюджетными учреждениями достигнуто за счет следующих мероприятий:</w:t>
      </w:r>
    </w:p>
    <w:p w:rsidR="008E4111" w:rsidRDefault="008E4111" w:rsidP="008E41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замены ламп накаливания на более экономичные источники освещения;</w:t>
      </w:r>
    </w:p>
    <w:p w:rsidR="008E4111" w:rsidRDefault="008E4111" w:rsidP="008E41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исключение использования электрообогревательных приборов для целей отопления;</w:t>
      </w:r>
    </w:p>
    <w:p w:rsidR="008E4111" w:rsidRDefault="008E4111" w:rsidP="008E41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установки энергосберегающих насосов в системах отопления.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Суммарное количество тепловой энергии муниципальными бюджетными учреждениями за 2020 год составило: 4129,1 Гкал, общая площадь муниципальных учреждений на 2020 год 52 694,02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Объем потребления холодной воды муниципальными БУ за 2020 год составил 12 500 м3.</w:t>
      </w:r>
    </w:p>
    <w:p w:rsidR="008E4111" w:rsidRDefault="008E4111" w:rsidP="008E4111">
      <w:pPr>
        <w:autoSpaceDE w:val="0"/>
        <w:autoSpaceDN w:val="0"/>
        <w:adjustRightInd w:val="0"/>
        <w:spacing w:before="120"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F96DD1" w:rsidRDefault="00F96DD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F96DD1" w:rsidRDefault="00F96DD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F96DD1" w:rsidRDefault="00F96DD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F96DD1" w:rsidRDefault="00F96DD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F96DD1" w:rsidRDefault="00F96DD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8E4111" w:rsidRDefault="008E4111" w:rsidP="003D1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X. Независимая оценка</w:t>
      </w:r>
    </w:p>
    <w:p w:rsidR="008E4111" w:rsidRDefault="008E4111" w:rsidP="008E41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E4111" w:rsidRDefault="008E4111" w:rsidP="003D1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3D17D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3D17D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«</w:t>
      </w:r>
      <w:r w:rsidRPr="003D17D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Интернет</w:t>
      </w:r>
      <w:r w:rsidRPr="003D17D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») (</w:t>
      </w:r>
      <w:r w:rsidRPr="003D17D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при наличии)</w:t>
      </w:r>
    </w:p>
    <w:p w:rsidR="00610E9C" w:rsidRPr="003D17D9" w:rsidRDefault="00610E9C" w:rsidP="003D1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</w:p>
    <w:p w:rsidR="00610E9C" w:rsidRPr="00610E9C" w:rsidRDefault="008E4111" w:rsidP="0061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</w:t>
      </w:r>
      <w:r w:rsidR="00610E9C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610E9C" w:rsidRPr="00610E9C">
        <w:rPr>
          <w:rFonts w:ascii="Times New Roman CYR" w:hAnsi="Times New Roman CYR" w:cs="Times New Roman CYR"/>
          <w:sz w:val="28"/>
          <w:szCs w:val="28"/>
          <w:u w:color="FF0000"/>
        </w:rPr>
        <w:t>В 2020 году организации культуры проходили независимую оценку качества условий оказания услуг. Результат составил 85,05%. Библиотечная система - 89,64%; клубная система- 88,88%; музей - 85,32%.</w:t>
      </w:r>
    </w:p>
    <w:p w:rsidR="008E4111" w:rsidRDefault="00610E9C" w:rsidP="0061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</w:t>
      </w:r>
      <w:r w:rsidR="008E4111">
        <w:rPr>
          <w:rFonts w:ascii="Times New Roman CYR" w:hAnsi="Times New Roman CYR" w:cs="Times New Roman CYR"/>
          <w:sz w:val="28"/>
          <w:szCs w:val="28"/>
          <w:u w:color="FF0000"/>
        </w:rPr>
        <w:t>Независимая оценка качества условий оказания услуг муниципальными образовательными организациями проведена в 13 образовательных организациях</w:t>
      </w:r>
    </w:p>
    <w:p w:rsidR="00610E9C" w:rsidRDefault="00610E9C" w:rsidP="0061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5741"/>
        <w:gridCol w:w="3167"/>
      </w:tblGrid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Значение показателя оценки качества по организации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НОВИНСКАЯ СРЕДНЯЯ ШКОЛА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78,80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ДЕНИСОВСКАЯ СРЕДНЯЯ ШКОЛА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79,80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УСОЛЬСКАЯ СРЕДНЯЯ ШКОЛА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82,48</w:t>
            </w:r>
          </w:p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ШЕЛОМКОВСКАЯ СРЕДНЯЯ ШКОЛА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83,48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КУРАЙСКАЯ СРЕДНЯЯ ШКОЛА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78,22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АЛЕКСАНДРО-ЕРШИНСКАЯ СРЕДНЯЯ ШКОЛА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82,98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 МУНИЦИПАЛЬНОЕ БЮДЖЕТНОЕ ОБЩЕОБРАЗОВАТЕЛЬНОЕ УЧРЕЖДЕНИЕ ДЗЕРЖИНСКАЯ СРЕДНЯЯ ШКОЛА №1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80,90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ОБЩЕОБРАЗОВАТЕЛЬНОЕ УЧРЕЖДЕНИЕ ДЗЕРЖИНСКАЯ СРЕДНЯЯ ШКОЛА № 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86,24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МУНИЦИПАЛЬНОЕ БЮДЖЕТНОЕ ДОШКОЛЬНОЕ ОБРАЗОВАТЕЛЬНОЕ УЧРЕЖДЕНИЕ "ДЗЕРЖИНСКИЙ ДЕТСКИЙ САД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lastRenderedPageBreak/>
              <w:t>№1 "ЧЕБУРАШКА" КОМБИНИРОВАННОГО ВИДА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76,66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ДОШКОЛЬНОЕ ОБРАЗОВАТЕЛЬНОЕ УЧРЕЖДЕНИЕ "ДЗЕРЖИНСКИЙ ДЕТСКИЙ САД №2 "КОЛОКОЛЬЧИК" КОМБИНИРОВАННОГО ВИДА"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84,62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ДОШКОЛЬНОЕ ОБРАЗОВАТЕЛЬНОЕ УЧРЕЖДЕНИЕ ДЗЕРЖИНСКИЙ ДЕТСКИЙ САД №3 "ТОПОЛЕК" КОМБИНИРОВАННОГО ВИДА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88,44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ДОШКОЛЬНОЕ ОБРАЗОВАТЕЛЬНОЕ УЧРЕЖДЕНИЕ "ДЗЕРЖИНСКИЙ ДЕТСКИЙ САД №4 "БЕРЕЗКА" КОМБИНИРОВАННОГО ВИДА II КАТЕГОРИИ"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81,70</w:t>
            </w:r>
          </w:p>
        </w:tc>
      </w:tr>
      <w:tr w:rsidR="008E4111">
        <w:trPr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МУНИЦИПАЛЬНОЕ БЮДЖЕТНОЕ ДОШКОЛЬНОЕ ОБРАЗОВАТЕЛЬНОЕ УЧРЕЖДЕНИЕ "ДЕНИСОВСКИЙ ДЕТСКИЙ САД "СОЛНЫШКО"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11" w:rsidRDefault="008E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83,64</w:t>
            </w:r>
          </w:p>
        </w:tc>
      </w:tr>
    </w:tbl>
    <w:p w:rsidR="006255F0" w:rsidRDefault="006255F0"/>
    <w:p w:rsidR="00346366" w:rsidRDefault="00346366"/>
    <w:p w:rsidR="00346366" w:rsidRDefault="00346366"/>
    <w:p w:rsidR="00346366" w:rsidRDefault="00346366"/>
    <w:p w:rsidR="00346366" w:rsidRDefault="00346366"/>
    <w:p w:rsidR="00346366" w:rsidRDefault="00346366"/>
    <w:p w:rsidR="00346366" w:rsidRPr="00346366" w:rsidRDefault="0034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В.Н. Дергунов</w:t>
      </w:r>
    </w:p>
    <w:sectPr w:rsidR="00346366" w:rsidRPr="00346366" w:rsidSect="008E4111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F01274"/>
    <w:lvl w:ilvl="0">
      <w:numFmt w:val="bullet"/>
      <w:lvlText w:val="*"/>
      <w:lvlJc w:val="left"/>
    </w:lvl>
  </w:abstractNum>
  <w:abstractNum w:abstractNumId="1" w15:restartNumberingAfterBreak="0">
    <w:nsid w:val="54DC4243"/>
    <w:multiLevelType w:val="singleLevel"/>
    <w:tmpl w:val="7D44FDF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11"/>
    <w:rsid w:val="00021478"/>
    <w:rsid w:val="00096DF8"/>
    <w:rsid w:val="00214987"/>
    <w:rsid w:val="00257DB2"/>
    <w:rsid w:val="002A2849"/>
    <w:rsid w:val="00346366"/>
    <w:rsid w:val="00387BE4"/>
    <w:rsid w:val="003D17D9"/>
    <w:rsid w:val="004B064E"/>
    <w:rsid w:val="00610E9C"/>
    <w:rsid w:val="006255F0"/>
    <w:rsid w:val="007C65B5"/>
    <w:rsid w:val="008E4111"/>
    <w:rsid w:val="00A159B0"/>
    <w:rsid w:val="00AF2441"/>
    <w:rsid w:val="00B21EF9"/>
    <w:rsid w:val="00B73347"/>
    <w:rsid w:val="00BB248E"/>
    <w:rsid w:val="00D75478"/>
    <w:rsid w:val="00E16BE2"/>
    <w:rsid w:val="00E43AD2"/>
    <w:rsid w:val="00F45615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C554"/>
  <w15:chartTrackingRefBased/>
  <w15:docId w15:val="{3024E313-F260-4C73-A7A8-1601B62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adm-dzerg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B226-DA63-4E67-96F9-C4889A0F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8304</Words>
  <Characters>47338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2021-04-29T04:36:00Z</cp:lastPrinted>
  <dcterms:created xsi:type="dcterms:W3CDTF">2021-04-20T08:05:00Z</dcterms:created>
  <dcterms:modified xsi:type="dcterms:W3CDTF">2021-04-29T04:43:00Z</dcterms:modified>
</cp:coreProperties>
</file>